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26A" w:rsidRDefault="00E2726A" w:rsidP="00E2726A">
      <w:r w:rsidRPr="00E2726A">
        <w:t xml:space="preserve">Christine Beavers, Research Scientist, Beamline 12.2.2 at the Advanced Light Source. </w:t>
      </w:r>
    </w:p>
    <w:p w:rsidR="002F3854" w:rsidRPr="00E2726A" w:rsidRDefault="002F3854" w:rsidP="00E2726A">
      <w:r>
        <w:t>Supervised by Quentin Williams, UC Santa Cruz</w:t>
      </w:r>
    </w:p>
    <w:p w:rsidR="00E2726A" w:rsidRDefault="00E2726A" w:rsidP="00E2726A">
      <w:r w:rsidRPr="00E2726A">
        <w:t>June 1</w:t>
      </w:r>
      <w:r w:rsidRPr="00E2726A">
        <w:rPr>
          <w:vertAlign w:val="superscript"/>
        </w:rPr>
        <w:t>st</w:t>
      </w:r>
      <w:r w:rsidRPr="00E2726A">
        <w:t>, 2013</w:t>
      </w:r>
      <w:r>
        <w:t>-Current (2 years, 5 months)</w:t>
      </w:r>
    </w:p>
    <w:p w:rsidR="00E2726A" w:rsidRDefault="00E2726A" w:rsidP="00E2726A"/>
    <w:p w:rsidR="00B54A5E" w:rsidRDefault="0079185A" w:rsidP="0079185A">
      <w:r w:rsidRPr="0079185A">
        <w:t>Responsibilities include developing</w:t>
      </w:r>
      <w:r>
        <w:t>/running</w:t>
      </w:r>
      <w:r w:rsidRPr="0079185A">
        <w:t xml:space="preserve"> the single-crystal diffraction experiment and facilities (</w:t>
      </w:r>
      <w:r>
        <w:t>8</w:t>
      </w:r>
      <w:r w:rsidRPr="0079185A">
        <w:t>0%)</w:t>
      </w:r>
      <w:r>
        <w:t xml:space="preserve"> </w:t>
      </w:r>
      <w:r w:rsidRPr="0079185A">
        <w:t xml:space="preserve">and providing on-site support to COMPRES users (20%).  </w:t>
      </w:r>
      <w:r>
        <w:t xml:space="preserve">I have supported the groups of </w:t>
      </w:r>
      <w:proofErr w:type="gramStart"/>
      <w:r>
        <w:t>Williams(</w:t>
      </w:r>
      <w:proofErr w:type="gramEnd"/>
      <w:r>
        <w:t>UCSC), Ross(</w:t>
      </w:r>
      <w:proofErr w:type="spellStart"/>
      <w:r>
        <w:t>VTech</w:t>
      </w:r>
      <w:proofErr w:type="spellEnd"/>
      <w:r>
        <w:t xml:space="preserve">), Jackson(CIT), </w:t>
      </w:r>
      <w:proofErr w:type="spellStart"/>
      <w:r>
        <w:t>Karunadasa</w:t>
      </w:r>
      <w:proofErr w:type="spellEnd"/>
      <w:r>
        <w:t xml:space="preserve">(Stanford), Olmstead(UC Davis), Clearfield(TAMU), Tolbert(UCLA) &amp; </w:t>
      </w:r>
      <w:proofErr w:type="spellStart"/>
      <w:r>
        <w:t>Ciezak</w:t>
      </w:r>
      <w:proofErr w:type="spellEnd"/>
      <w:r>
        <w:t xml:space="preserve">-Jenkins(Army).  </w:t>
      </w:r>
      <w:r w:rsidR="00B54A5E">
        <w:t xml:space="preserve">Although some of these groups are not COMPRES, they require my expertise in some facet of collecting single crystal data on 12.2.2. </w:t>
      </w:r>
    </w:p>
    <w:p w:rsidR="0079185A" w:rsidRDefault="0079185A" w:rsidP="0079185A">
      <w:r>
        <w:t xml:space="preserve">Within my single-crystal work, I divide time between analyzing data and developing the resources to teach users to analyze data efficiently, as well as exploring options to further improve the single crystal experiment at beamline 12.2.2. This exploration has lead to the recent purchase, by the ALS, of a single-crystal diffractometer and detector system, worth ~$250k, that will be installed in </w:t>
      </w:r>
      <w:proofErr w:type="gramStart"/>
      <w:r>
        <w:t>Spring</w:t>
      </w:r>
      <w:proofErr w:type="gramEnd"/>
      <w:r>
        <w:t xml:space="preserve"> 2016.  This acquisition has added project work planning to my day-to-day responsibilities. </w:t>
      </w:r>
    </w:p>
    <w:p w:rsidR="00E2726A" w:rsidRDefault="0079185A" w:rsidP="00E2726A">
      <w:r>
        <w:t xml:space="preserve">I am involved with numerous projects concerned with single crystal HP, with groups around the country. </w:t>
      </w:r>
      <w:proofErr w:type="gramStart"/>
      <w:r>
        <w:t>The  Williams</w:t>
      </w:r>
      <w:proofErr w:type="gramEnd"/>
      <w:r>
        <w:t xml:space="preserve"> group at UCSC is closely working with myself and other beamline staff to implement HPHT single crystal, and this development is ideally suited to match our </w:t>
      </w:r>
      <w:r w:rsidR="00B54A5E">
        <w:t xml:space="preserve">upcoming installation.  The </w:t>
      </w:r>
      <w:proofErr w:type="spellStart"/>
      <w:r w:rsidR="00B54A5E">
        <w:t>Karunadasa</w:t>
      </w:r>
      <w:proofErr w:type="spellEnd"/>
      <w:r w:rsidR="00B54A5E">
        <w:t xml:space="preserve"> group at Stanford is heavily engaged in HPSXD of materials relevant to energy. This project is expected to accelerate with the new equipment, but there are already a number of papers, in press and preparation. </w:t>
      </w:r>
    </w:p>
    <w:p w:rsidR="00B54A5E" w:rsidRDefault="00B54A5E" w:rsidP="00E2726A">
      <w:r>
        <w:t xml:space="preserve">The current single crystal system on 12.2.2 has been continuously improved over the last two years, thanks to user feedback. We are nearing the limitation of our current equipment, however, so optimization of this system will slow, as we invest more time on integration of the new system. Goals of the new system are identical to the current goals: data will be portable and contain necessary experimental information, to enable users to correctly process data in a timely fashion. </w:t>
      </w:r>
    </w:p>
    <w:p w:rsidR="002F3854" w:rsidRDefault="00B54A5E">
      <w:r>
        <w:t xml:space="preserve">As far as outreach, I was invited to the National School on Neutron &amp; X-ray scattering as a lecturer on single crystal diffraction.  My lecture was well received, and numerous students were intrigued by the concept of HP diffraction. </w:t>
      </w:r>
      <w:r w:rsidR="00881C51">
        <w:t xml:space="preserve"> I also attended the national meeting of the American Crystallographic Association, and publicized 12.2.2 at the ALS sponsored booth. I met many scientists interested in high pressure single crystal, and some of these contacts produced proposals in the most recent call. </w:t>
      </w:r>
    </w:p>
    <w:p w:rsidR="00E2726A" w:rsidRPr="002F3854" w:rsidRDefault="002F3854">
      <w:pPr>
        <w:rPr>
          <w:b/>
        </w:rPr>
      </w:pPr>
      <w:r w:rsidRPr="002F3854">
        <w:rPr>
          <w:b/>
        </w:rPr>
        <w:lastRenderedPageBreak/>
        <w:t>Publications (2014-2015)</w:t>
      </w:r>
    </w:p>
    <w:tbl>
      <w:tblPr>
        <w:tblW w:w="9904" w:type="dxa"/>
        <w:tblLayout w:type="fixed"/>
        <w:tblLook w:val="04A0"/>
      </w:tblPr>
      <w:tblGrid>
        <w:gridCol w:w="468"/>
        <w:gridCol w:w="1354"/>
        <w:gridCol w:w="8082"/>
      </w:tblGrid>
      <w:tr w:rsidR="002F3854" w:rsidRPr="00A162F6" w:rsidTr="006C073C">
        <w:trPr>
          <w:trHeight w:val="315"/>
        </w:trPr>
        <w:tc>
          <w:tcPr>
            <w:tcW w:w="468" w:type="dxa"/>
            <w:shd w:val="clear" w:color="auto" w:fill="auto"/>
            <w:hideMark/>
          </w:tcPr>
          <w:p w:rsidR="002F3854" w:rsidRDefault="002F3854" w:rsidP="006C073C">
            <w:pPr>
              <w:rPr>
                <w:lang w:val="en-ZA"/>
              </w:rPr>
            </w:pPr>
            <w:r>
              <w:rPr>
                <w:lang w:val="en-ZA"/>
              </w:rPr>
              <w:t>77</w:t>
            </w:r>
          </w:p>
        </w:tc>
        <w:tc>
          <w:tcPr>
            <w:tcW w:w="1354" w:type="dxa"/>
            <w:shd w:val="clear" w:color="auto" w:fill="auto"/>
            <w:hideMark/>
          </w:tcPr>
          <w:p w:rsidR="002F3854" w:rsidRDefault="002F3854" w:rsidP="006C073C">
            <w:pPr>
              <w:rPr>
                <w:lang w:val="en-ZA"/>
              </w:rPr>
            </w:pPr>
            <w:r>
              <w:rPr>
                <w:lang w:val="en-ZA"/>
              </w:rPr>
              <w:t>2015</w:t>
            </w:r>
          </w:p>
        </w:tc>
        <w:tc>
          <w:tcPr>
            <w:tcW w:w="8082" w:type="dxa"/>
            <w:shd w:val="clear" w:color="auto" w:fill="auto"/>
            <w:noWrap/>
            <w:hideMark/>
          </w:tcPr>
          <w:p w:rsidR="002F3854" w:rsidRPr="00A162F6" w:rsidRDefault="002F3854" w:rsidP="006C073C">
            <w:proofErr w:type="spellStart"/>
            <w:r w:rsidRPr="00A162F6">
              <w:t>Capar</w:t>
            </w:r>
            <w:proofErr w:type="spellEnd"/>
            <w:r w:rsidRPr="00A162F6">
              <w:t xml:space="preserve">, J.; </w:t>
            </w:r>
            <w:proofErr w:type="spellStart"/>
            <w:r w:rsidRPr="00A162F6">
              <w:t>Conradie</w:t>
            </w:r>
            <w:proofErr w:type="spellEnd"/>
            <w:r w:rsidRPr="00A162F6">
              <w:t xml:space="preserve">, J.; Beavers, C. M.; </w:t>
            </w:r>
            <w:proofErr w:type="spellStart"/>
            <w:r w:rsidRPr="00A162F6">
              <w:t>Ghosh</w:t>
            </w:r>
            <w:proofErr w:type="spellEnd"/>
            <w:r w:rsidRPr="00A162F6">
              <w:t xml:space="preserve">, A. Molecular Structures of Free-Base </w:t>
            </w:r>
            <w:proofErr w:type="spellStart"/>
            <w:r w:rsidRPr="00A162F6">
              <w:t>Corroles</w:t>
            </w:r>
            <w:proofErr w:type="spellEnd"/>
            <w:r w:rsidRPr="00A162F6">
              <w:t xml:space="preserve">: </w:t>
            </w:r>
            <w:proofErr w:type="spellStart"/>
            <w:r w:rsidRPr="00A162F6">
              <w:t>Nonplanarity</w:t>
            </w:r>
            <w:proofErr w:type="spellEnd"/>
            <w:r w:rsidRPr="00A162F6">
              <w:t xml:space="preserve">, </w:t>
            </w:r>
            <w:proofErr w:type="spellStart"/>
            <w:r w:rsidRPr="00A162F6">
              <w:t>Chirality</w:t>
            </w:r>
            <w:proofErr w:type="spellEnd"/>
            <w:r w:rsidRPr="00A162F6">
              <w:t xml:space="preserve">, and </w:t>
            </w:r>
            <w:proofErr w:type="spellStart"/>
            <w:r w:rsidRPr="00A162F6">
              <w:t>Enantiomerization</w:t>
            </w:r>
            <w:proofErr w:type="spellEnd"/>
            <w:r w:rsidRPr="00A162F6">
              <w:t xml:space="preserve">. </w:t>
            </w:r>
            <w:r w:rsidRPr="00A162F6">
              <w:rPr>
                <w:i/>
                <w:iCs/>
              </w:rPr>
              <w:t>JPCA</w:t>
            </w:r>
            <w:r w:rsidRPr="00A162F6">
              <w:t xml:space="preserve"> </w:t>
            </w:r>
            <w:r w:rsidRPr="00A162F6">
              <w:rPr>
                <w:b/>
                <w:bCs/>
              </w:rPr>
              <w:t>2015</w:t>
            </w:r>
            <w:r w:rsidRPr="00A162F6">
              <w:t xml:space="preserve">, </w:t>
            </w:r>
            <w:r w:rsidRPr="00A162F6">
              <w:rPr>
                <w:i/>
                <w:iCs/>
              </w:rPr>
              <w:t>119</w:t>
            </w:r>
            <w:r w:rsidRPr="00A162F6">
              <w:t>, 3452.</w:t>
            </w:r>
          </w:p>
        </w:tc>
      </w:tr>
      <w:tr w:rsidR="002F3854" w:rsidRPr="00491CA0" w:rsidTr="006C073C">
        <w:trPr>
          <w:trHeight w:val="315"/>
        </w:trPr>
        <w:tc>
          <w:tcPr>
            <w:tcW w:w="468" w:type="dxa"/>
            <w:shd w:val="clear" w:color="auto" w:fill="auto"/>
            <w:hideMark/>
          </w:tcPr>
          <w:p w:rsidR="002F3854" w:rsidRDefault="002F3854" w:rsidP="006C073C">
            <w:pPr>
              <w:rPr>
                <w:lang w:val="en-ZA"/>
              </w:rPr>
            </w:pPr>
            <w:r>
              <w:rPr>
                <w:lang w:val="en-ZA"/>
              </w:rPr>
              <w:t>76</w:t>
            </w:r>
          </w:p>
        </w:tc>
        <w:tc>
          <w:tcPr>
            <w:tcW w:w="1354" w:type="dxa"/>
            <w:shd w:val="clear" w:color="auto" w:fill="auto"/>
            <w:hideMark/>
          </w:tcPr>
          <w:p w:rsidR="002F3854" w:rsidRDefault="002F3854" w:rsidP="006C073C">
            <w:pPr>
              <w:rPr>
                <w:lang w:val="en-ZA"/>
              </w:rPr>
            </w:pPr>
          </w:p>
        </w:tc>
        <w:tc>
          <w:tcPr>
            <w:tcW w:w="8082" w:type="dxa"/>
            <w:shd w:val="clear" w:color="auto" w:fill="auto"/>
            <w:noWrap/>
            <w:hideMark/>
          </w:tcPr>
          <w:p w:rsidR="002F3854" w:rsidRPr="00491CA0" w:rsidRDefault="002F3854" w:rsidP="006C073C">
            <w:r w:rsidRPr="00A162F6">
              <w:t xml:space="preserve">Palacios, M. A.; </w:t>
            </w:r>
            <w:proofErr w:type="spellStart"/>
            <w:r w:rsidRPr="00A162F6">
              <w:t>McLellan</w:t>
            </w:r>
            <w:proofErr w:type="spellEnd"/>
            <w:r w:rsidRPr="00A162F6">
              <w:t xml:space="preserve">, R.; Beavers, C. M.; Teat, S. J.; </w:t>
            </w:r>
            <w:proofErr w:type="spellStart"/>
            <w:r w:rsidRPr="00A162F6">
              <w:t>Weihe</w:t>
            </w:r>
            <w:proofErr w:type="spellEnd"/>
            <w:r w:rsidRPr="00A162F6">
              <w:t xml:space="preserve">, H.; </w:t>
            </w:r>
            <w:proofErr w:type="spellStart"/>
            <w:r w:rsidRPr="00A162F6">
              <w:t>Piligkos</w:t>
            </w:r>
            <w:proofErr w:type="spellEnd"/>
            <w:r w:rsidRPr="00A162F6">
              <w:t xml:space="preserve">, S.; </w:t>
            </w:r>
            <w:proofErr w:type="spellStart"/>
            <w:r w:rsidRPr="00A162F6">
              <w:t>Dalgarno</w:t>
            </w:r>
            <w:proofErr w:type="spellEnd"/>
            <w:r w:rsidRPr="00A162F6">
              <w:t xml:space="preserve">, S. J.; </w:t>
            </w:r>
            <w:proofErr w:type="spellStart"/>
            <w:r w:rsidRPr="00A162F6">
              <w:t>Brechin</w:t>
            </w:r>
            <w:proofErr w:type="spellEnd"/>
            <w:r w:rsidRPr="00A162F6">
              <w:t xml:space="preserve">, E. K. Facile Interchange of 3d and 4f Ions in Single-Molecule Magnets: Stepwise Assembly of Mn-4 , </w:t>
            </w:r>
            <w:proofErr w:type="spellStart"/>
            <w:r w:rsidRPr="00A162F6">
              <w:t>Mn</w:t>
            </w:r>
            <w:proofErr w:type="spellEnd"/>
            <w:r w:rsidRPr="00A162F6">
              <w:t>(3)</w:t>
            </w:r>
            <w:proofErr w:type="spellStart"/>
            <w:r w:rsidRPr="00A162F6">
              <w:t>Ln</w:t>
            </w:r>
            <w:proofErr w:type="spellEnd"/>
            <w:r w:rsidRPr="00A162F6">
              <w:t xml:space="preserve"> and </w:t>
            </w:r>
            <w:proofErr w:type="spellStart"/>
            <w:r w:rsidRPr="00A162F6">
              <w:t>Mn</w:t>
            </w:r>
            <w:proofErr w:type="spellEnd"/>
            <w:r w:rsidRPr="00A162F6">
              <w:t>(2)</w:t>
            </w:r>
            <w:proofErr w:type="spellStart"/>
            <w:r w:rsidRPr="00A162F6">
              <w:t>Ln</w:t>
            </w:r>
            <w:proofErr w:type="spellEnd"/>
            <w:r w:rsidRPr="00A162F6">
              <w:t xml:space="preserve">(2) Cages within </w:t>
            </w:r>
            <w:proofErr w:type="spellStart"/>
            <w:r w:rsidRPr="00A162F6">
              <w:t>Calix</w:t>
            </w:r>
            <w:proofErr w:type="spellEnd"/>
            <w:r w:rsidRPr="00A162F6">
              <w:t xml:space="preserve"> 4 </w:t>
            </w:r>
            <w:proofErr w:type="spellStart"/>
            <w:r w:rsidRPr="00A162F6">
              <w:t>arene</w:t>
            </w:r>
            <w:proofErr w:type="spellEnd"/>
            <w:r w:rsidRPr="00A162F6">
              <w:t xml:space="preserve"> Scaffolds. </w:t>
            </w:r>
            <w:r w:rsidRPr="00A162F6">
              <w:rPr>
                <w:i/>
                <w:iCs/>
              </w:rPr>
              <w:t>Chemistry-a European Journal</w:t>
            </w:r>
            <w:r w:rsidRPr="00A162F6">
              <w:t xml:space="preserve"> </w:t>
            </w:r>
            <w:r w:rsidRPr="00A162F6">
              <w:rPr>
                <w:b/>
                <w:bCs/>
              </w:rPr>
              <w:t>2015</w:t>
            </w:r>
            <w:r w:rsidRPr="00A162F6">
              <w:t xml:space="preserve">, </w:t>
            </w:r>
            <w:r w:rsidRPr="00A162F6">
              <w:rPr>
                <w:i/>
                <w:iCs/>
              </w:rPr>
              <w:t>21</w:t>
            </w:r>
            <w:r w:rsidRPr="00A162F6">
              <w:t>, 11212.</w:t>
            </w:r>
          </w:p>
        </w:tc>
      </w:tr>
      <w:tr w:rsidR="002F3854" w:rsidRPr="00491CA0" w:rsidTr="006C073C">
        <w:trPr>
          <w:trHeight w:val="315"/>
        </w:trPr>
        <w:tc>
          <w:tcPr>
            <w:tcW w:w="468" w:type="dxa"/>
            <w:shd w:val="clear" w:color="auto" w:fill="auto"/>
            <w:hideMark/>
          </w:tcPr>
          <w:p w:rsidR="002F3854" w:rsidRDefault="002F3854" w:rsidP="006C073C">
            <w:pPr>
              <w:rPr>
                <w:lang w:val="en-ZA"/>
              </w:rPr>
            </w:pPr>
            <w:r>
              <w:rPr>
                <w:lang w:val="en-ZA"/>
              </w:rPr>
              <w:t>75</w:t>
            </w:r>
          </w:p>
        </w:tc>
        <w:tc>
          <w:tcPr>
            <w:tcW w:w="1354" w:type="dxa"/>
            <w:shd w:val="clear" w:color="auto" w:fill="auto"/>
            <w:hideMark/>
          </w:tcPr>
          <w:p w:rsidR="002F3854" w:rsidRDefault="002F3854" w:rsidP="006C073C">
            <w:pPr>
              <w:rPr>
                <w:lang w:val="en-ZA"/>
              </w:rPr>
            </w:pPr>
          </w:p>
        </w:tc>
        <w:tc>
          <w:tcPr>
            <w:tcW w:w="8082" w:type="dxa"/>
            <w:shd w:val="clear" w:color="auto" w:fill="auto"/>
            <w:noWrap/>
            <w:hideMark/>
          </w:tcPr>
          <w:p w:rsidR="002F3854" w:rsidRPr="00491CA0" w:rsidRDefault="002F3854" w:rsidP="002F3854">
            <w:proofErr w:type="spellStart"/>
            <w:r w:rsidRPr="00A162F6">
              <w:t>Capar</w:t>
            </w:r>
            <w:proofErr w:type="spellEnd"/>
            <w:r w:rsidRPr="00A162F6">
              <w:t xml:space="preserve">, J.; Berg, S.; Thomas, K. E.; Beavers, C. M.; Gagnon, K. J.; </w:t>
            </w:r>
            <w:proofErr w:type="spellStart"/>
            <w:r w:rsidRPr="00A162F6">
              <w:t>Ghosh</w:t>
            </w:r>
            <w:proofErr w:type="spellEnd"/>
            <w:r w:rsidRPr="00A162F6">
              <w:t xml:space="preserve">, A. Improved syntheses of </w:t>
            </w:r>
            <w:r w:rsidRPr="002F3854">
              <w:rPr>
                <w:rFonts w:ascii="Symbol" w:hAnsi="Symbol"/>
              </w:rPr>
              <w:t></w:t>
            </w:r>
            <w:r w:rsidRPr="00A162F6">
              <w:t>-</w:t>
            </w:r>
            <w:proofErr w:type="spellStart"/>
            <w:r w:rsidRPr="00A162F6">
              <w:t>octabromo</w:t>
            </w:r>
            <w:proofErr w:type="spellEnd"/>
            <w:r w:rsidRPr="00A162F6">
              <w:t>-</w:t>
            </w:r>
            <w:proofErr w:type="spellStart"/>
            <w:r w:rsidRPr="00A162F6">
              <w:t>meso</w:t>
            </w:r>
            <w:proofErr w:type="spellEnd"/>
            <w:r w:rsidRPr="00A162F6">
              <w:t>-</w:t>
            </w:r>
            <w:proofErr w:type="spellStart"/>
            <w:r w:rsidRPr="00A162F6">
              <w:t>triarylcorrole</w:t>
            </w:r>
            <w:proofErr w:type="spellEnd"/>
            <w:r w:rsidRPr="00A162F6">
              <w:t xml:space="preserve"> derivatives. </w:t>
            </w:r>
            <w:r w:rsidRPr="00A162F6">
              <w:rPr>
                <w:i/>
                <w:iCs/>
              </w:rPr>
              <w:t>Journal of inorganic biochemistry</w:t>
            </w:r>
            <w:r w:rsidRPr="00A162F6">
              <w:t xml:space="preserve"> </w:t>
            </w:r>
            <w:r w:rsidRPr="00A162F6">
              <w:rPr>
                <w:b/>
                <w:bCs/>
              </w:rPr>
              <w:t>2015</w:t>
            </w:r>
            <w:r w:rsidRPr="00A162F6">
              <w:t>.</w:t>
            </w:r>
          </w:p>
        </w:tc>
      </w:tr>
      <w:tr w:rsidR="002F3854" w:rsidRPr="00491CA0" w:rsidTr="006C073C">
        <w:trPr>
          <w:trHeight w:val="315"/>
        </w:trPr>
        <w:tc>
          <w:tcPr>
            <w:tcW w:w="468" w:type="dxa"/>
            <w:shd w:val="clear" w:color="auto" w:fill="auto"/>
            <w:hideMark/>
          </w:tcPr>
          <w:p w:rsidR="002F3854" w:rsidRDefault="002F3854" w:rsidP="006C073C">
            <w:pPr>
              <w:rPr>
                <w:lang w:val="en-ZA"/>
              </w:rPr>
            </w:pPr>
            <w:r>
              <w:rPr>
                <w:lang w:val="en-ZA"/>
              </w:rPr>
              <w:t>74</w:t>
            </w:r>
          </w:p>
        </w:tc>
        <w:tc>
          <w:tcPr>
            <w:tcW w:w="1354" w:type="dxa"/>
            <w:shd w:val="clear" w:color="auto" w:fill="auto"/>
            <w:hideMark/>
          </w:tcPr>
          <w:p w:rsidR="002F3854" w:rsidRDefault="002F3854" w:rsidP="006C073C">
            <w:pPr>
              <w:rPr>
                <w:lang w:val="en-ZA"/>
              </w:rPr>
            </w:pPr>
          </w:p>
        </w:tc>
        <w:tc>
          <w:tcPr>
            <w:tcW w:w="8082" w:type="dxa"/>
            <w:shd w:val="clear" w:color="auto" w:fill="auto"/>
            <w:noWrap/>
            <w:hideMark/>
          </w:tcPr>
          <w:p w:rsidR="002F3854" w:rsidRPr="00491CA0" w:rsidRDefault="002F3854" w:rsidP="006C073C">
            <w:r w:rsidRPr="00A162F6">
              <w:t>Thomas, K. E.; Vazquez</w:t>
            </w:r>
            <w:r w:rsidRPr="00A162F6">
              <w:rPr>
                <w:rFonts w:ascii="Cambria Math" w:hAnsi="Cambria Math" w:cs="Cambria Math"/>
              </w:rPr>
              <w:t>‐</w:t>
            </w:r>
            <w:r w:rsidRPr="00A162F6">
              <w:rPr>
                <w:rFonts w:ascii="Times New Roman" w:hAnsi="Times New Roman" w:cs="Times New Roman"/>
              </w:rPr>
              <w:t xml:space="preserve">Lima, H.; Fang, Y.; Song, Y.; Gagnon, K. J.; Beavers, C. M.; </w:t>
            </w:r>
            <w:proofErr w:type="spellStart"/>
            <w:r w:rsidRPr="00A162F6">
              <w:rPr>
                <w:rFonts w:ascii="Times New Roman" w:hAnsi="Times New Roman" w:cs="Times New Roman"/>
              </w:rPr>
              <w:t>Kadish</w:t>
            </w:r>
            <w:proofErr w:type="spellEnd"/>
            <w:r w:rsidRPr="00A162F6">
              <w:rPr>
                <w:rFonts w:ascii="Times New Roman" w:hAnsi="Times New Roman" w:cs="Times New Roman"/>
              </w:rPr>
              <w:t xml:space="preserve">, K. M.; </w:t>
            </w:r>
            <w:proofErr w:type="spellStart"/>
            <w:r w:rsidRPr="00A162F6">
              <w:rPr>
                <w:rFonts w:ascii="Times New Roman" w:hAnsi="Times New Roman" w:cs="Times New Roman"/>
              </w:rPr>
              <w:t>Ghosh</w:t>
            </w:r>
            <w:proofErr w:type="spellEnd"/>
            <w:r w:rsidRPr="00A162F6">
              <w:rPr>
                <w:rFonts w:ascii="Times New Roman" w:hAnsi="Times New Roman" w:cs="Times New Roman"/>
              </w:rPr>
              <w:t xml:space="preserve">, A. Ligand </w:t>
            </w:r>
            <w:proofErr w:type="spellStart"/>
            <w:r w:rsidRPr="00A162F6">
              <w:rPr>
                <w:rFonts w:ascii="Times New Roman" w:hAnsi="Times New Roman" w:cs="Times New Roman"/>
              </w:rPr>
              <w:t>Noninnocence</w:t>
            </w:r>
            <w:proofErr w:type="spellEnd"/>
            <w:r w:rsidRPr="00A162F6">
              <w:rPr>
                <w:rFonts w:ascii="Times New Roman" w:hAnsi="Times New Roman" w:cs="Times New Roman"/>
              </w:rPr>
              <w:t xml:space="preserve"> in Coinage Metal </w:t>
            </w:r>
            <w:proofErr w:type="spellStart"/>
            <w:r w:rsidRPr="00A162F6">
              <w:rPr>
                <w:rFonts w:ascii="Times New Roman" w:hAnsi="Times New Roman" w:cs="Times New Roman"/>
              </w:rPr>
              <w:t>Corrol</w:t>
            </w:r>
            <w:r w:rsidRPr="00A162F6">
              <w:t>es</w:t>
            </w:r>
            <w:proofErr w:type="spellEnd"/>
            <w:r w:rsidRPr="00A162F6">
              <w:t>: A Silver Knife</w:t>
            </w:r>
            <w:r w:rsidRPr="00A162F6">
              <w:rPr>
                <w:rFonts w:ascii="Cambria Math" w:hAnsi="Cambria Math" w:cs="Cambria Math"/>
              </w:rPr>
              <w:t>‐</w:t>
            </w:r>
            <w:r w:rsidRPr="00A162F6">
              <w:rPr>
                <w:rFonts w:ascii="Times New Roman" w:hAnsi="Times New Roman" w:cs="Times New Roman"/>
              </w:rPr>
              <w:t xml:space="preserve">Edge. </w:t>
            </w:r>
            <w:r w:rsidRPr="00A162F6">
              <w:rPr>
                <w:i/>
                <w:iCs/>
              </w:rPr>
              <w:t>Chemistry–A European Journal</w:t>
            </w:r>
            <w:r w:rsidRPr="00A162F6">
              <w:t xml:space="preserve"> </w:t>
            </w:r>
            <w:r w:rsidRPr="00A162F6">
              <w:rPr>
                <w:b/>
                <w:bCs/>
              </w:rPr>
              <w:t>2015</w:t>
            </w:r>
            <w:r w:rsidRPr="00A162F6">
              <w:t>.</w:t>
            </w:r>
            <w:r w:rsidRPr="00A162F6">
              <w:tab/>
            </w:r>
          </w:p>
        </w:tc>
      </w:tr>
      <w:tr w:rsidR="002F3854" w:rsidRPr="00491CA0" w:rsidTr="006C073C">
        <w:trPr>
          <w:trHeight w:val="315"/>
        </w:trPr>
        <w:tc>
          <w:tcPr>
            <w:tcW w:w="468" w:type="dxa"/>
            <w:shd w:val="clear" w:color="auto" w:fill="auto"/>
            <w:hideMark/>
          </w:tcPr>
          <w:p w:rsidR="002F3854" w:rsidRDefault="002F3854" w:rsidP="006C073C">
            <w:pPr>
              <w:rPr>
                <w:lang w:val="en-ZA"/>
              </w:rPr>
            </w:pPr>
          </w:p>
        </w:tc>
        <w:tc>
          <w:tcPr>
            <w:tcW w:w="1354" w:type="dxa"/>
            <w:shd w:val="clear" w:color="auto" w:fill="auto"/>
            <w:hideMark/>
          </w:tcPr>
          <w:p w:rsidR="002F3854" w:rsidRDefault="002F3854" w:rsidP="006C073C">
            <w:pPr>
              <w:rPr>
                <w:lang w:val="en-ZA"/>
              </w:rPr>
            </w:pPr>
          </w:p>
        </w:tc>
        <w:tc>
          <w:tcPr>
            <w:tcW w:w="8082" w:type="dxa"/>
            <w:shd w:val="clear" w:color="auto" w:fill="auto"/>
            <w:noWrap/>
            <w:hideMark/>
          </w:tcPr>
          <w:p w:rsidR="002F3854" w:rsidRPr="00491CA0" w:rsidRDefault="002F3854" w:rsidP="006C073C"/>
        </w:tc>
      </w:tr>
      <w:tr w:rsidR="002F3854" w:rsidRPr="00491CA0" w:rsidTr="006C073C">
        <w:trPr>
          <w:trHeight w:val="315"/>
        </w:trPr>
        <w:tc>
          <w:tcPr>
            <w:tcW w:w="468" w:type="dxa"/>
            <w:shd w:val="clear" w:color="auto" w:fill="auto"/>
            <w:hideMark/>
          </w:tcPr>
          <w:p w:rsidR="002F3854" w:rsidRDefault="002F3854" w:rsidP="006C073C">
            <w:pPr>
              <w:rPr>
                <w:lang w:val="en-ZA"/>
              </w:rPr>
            </w:pPr>
            <w:r>
              <w:rPr>
                <w:lang w:val="en-ZA"/>
              </w:rPr>
              <w:t>73</w:t>
            </w:r>
          </w:p>
        </w:tc>
        <w:tc>
          <w:tcPr>
            <w:tcW w:w="1354" w:type="dxa"/>
            <w:shd w:val="clear" w:color="auto" w:fill="auto"/>
            <w:hideMark/>
          </w:tcPr>
          <w:p w:rsidR="002F3854" w:rsidRDefault="002F3854" w:rsidP="006C073C">
            <w:pPr>
              <w:rPr>
                <w:lang w:val="en-ZA"/>
              </w:rPr>
            </w:pPr>
          </w:p>
        </w:tc>
        <w:tc>
          <w:tcPr>
            <w:tcW w:w="8082" w:type="dxa"/>
            <w:shd w:val="clear" w:color="auto" w:fill="auto"/>
            <w:noWrap/>
            <w:hideMark/>
          </w:tcPr>
          <w:p w:rsidR="002F3854" w:rsidRPr="00491CA0" w:rsidRDefault="002F3854" w:rsidP="006C073C">
            <w:proofErr w:type="spellStart"/>
            <w:r w:rsidRPr="00A162F6">
              <w:t>Tian</w:t>
            </w:r>
            <w:proofErr w:type="spellEnd"/>
            <w:r w:rsidRPr="00A162F6">
              <w:t xml:space="preserve">, G.; </w:t>
            </w:r>
            <w:proofErr w:type="spellStart"/>
            <w:r w:rsidRPr="00A162F6">
              <w:t>Shuh</w:t>
            </w:r>
            <w:proofErr w:type="spellEnd"/>
            <w:r w:rsidRPr="00A162F6">
              <w:t xml:space="preserve">, D. K.; Beavers, C. M.; Teat, S. J. A structural and </w:t>
            </w:r>
            <w:proofErr w:type="spellStart"/>
            <w:r w:rsidRPr="00A162F6">
              <w:t>spectrophotometric</w:t>
            </w:r>
            <w:proofErr w:type="spellEnd"/>
            <w:r w:rsidRPr="00A162F6">
              <w:t xml:space="preserve"> study on the </w:t>
            </w:r>
            <w:proofErr w:type="spellStart"/>
            <w:r w:rsidRPr="00A162F6">
              <w:t>complexation</w:t>
            </w:r>
            <w:proofErr w:type="spellEnd"/>
            <w:r w:rsidRPr="00A162F6">
              <w:t xml:space="preserve"> of </w:t>
            </w:r>
            <w:proofErr w:type="spellStart"/>
            <w:r w:rsidRPr="00A162F6">
              <w:t>Am</w:t>
            </w:r>
            <w:proofErr w:type="spellEnd"/>
            <w:r w:rsidRPr="00A162F6">
              <w:t xml:space="preserve"> (iii) with TMOGA in comparison with the extracted complex of DMDOOGA. </w:t>
            </w:r>
            <w:r w:rsidRPr="00A162F6">
              <w:rPr>
                <w:i/>
                <w:iCs/>
              </w:rPr>
              <w:t>Dalton Transactions</w:t>
            </w:r>
            <w:r w:rsidRPr="00A162F6">
              <w:t xml:space="preserve"> </w:t>
            </w:r>
            <w:r w:rsidRPr="00A162F6">
              <w:rPr>
                <w:b/>
                <w:bCs/>
              </w:rPr>
              <w:t>2015</w:t>
            </w:r>
            <w:r w:rsidRPr="00A162F6">
              <w:t xml:space="preserve">, </w:t>
            </w:r>
            <w:r w:rsidRPr="00A162F6">
              <w:rPr>
                <w:i/>
                <w:iCs/>
              </w:rPr>
              <w:t>44</w:t>
            </w:r>
            <w:r w:rsidRPr="00A162F6">
              <w:t>, 18469.</w:t>
            </w:r>
          </w:p>
        </w:tc>
      </w:tr>
      <w:tr w:rsidR="002F3854" w:rsidRPr="00491CA0" w:rsidTr="006C073C">
        <w:trPr>
          <w:trHeight w:val="315"/>
        </w:trPr>
        <w:tc>
          <w:tcPr>
            <w:tcW w:w="468" w:type="dxa"/>
            <w:shd w:val="clear" w:color="auto" w:fill="auto"/>
            <w:hideMark/>
          </w:tcPr>
          <w:p w:rsidR="002F3854" w:rsidRDefault="002F3854" w:rsidP="006C073C">
            <w:pPr>
              <w:rPr>
                <w:lang w:val="en-ZA"/>
              </w:rPr>
            </w:pPr>
            <w:r>
              <w:rPr>
                <w:lang w:val="en-ZA"/>
              </w:rPr>
              <w:t>72</w:t>
            </w:r>
          </w:p>
        </w:tc>
        <w:tc>
          <w:tcPr>
            <w:tcW w:w="1354" w:type="dxa"/>
            <w:shd w:val="clear" w:color="auto" w:fill="auto"/>
            <w:hideMark/>
          </w:tcPr>
          <w:p w:rsidR="002F3854" w:rsidRDefault="002F3854" w:rsidP="006C073C">
            <w:pPr>
              <w:rPr>
                <w:lang w:val="en-ZA"/>
              </w:rPr>
            </w:pPr>
          </w:p>
        </w:tc>
        <w:tc>
          <w:tcPr>
            <w:tcW w:w="8082" w:type="dxa"/>
            <w:shd w:val="clear" w:color="auto" w:fill="auto"/>
            <w:noWrap/>
            <w:hideMark/>
          </w:tcPr>
          <w:p w:rsidR="002F3854" w:rsidRPr="00491CA0" w:rsidRDefault="002F3854" w:rsidP="006C073C">
            <w:proofErr w:type="spellStart"/>
            <w:r w:rsidRPr="00ED4A27">
              <w:t>McLellan</w:t>
            </w:r>
            <w:proofErr w:type="spellEnd"/>
            <w:r w:rsidRPr="00ED4A27">
              <w:t xml:space="preserve">, R.; Palacios, M. A.; Beavers, C. M.; Teat, S. J.; </w:t>
            </w:r>
            <w:proofErr w:type="spellStart"/>
            <w:r w:rsidRPr="00ED4A27">
              <w:t>Piligkos</w:t>
            </w:r>
            <w:proofErr w:type="spellEnd"/>
            <w:r w:rsidRPr="00ED4A27">
              <w:t xml:space="preserve">, S.; </w:t>
            </w:r>
            <w:proofErr w:type="spellStart"/>
            <w:r w:rsidRPr="00ED4A27">
              <w:t>Brechin</w:t>
            </w:r>
            <w:proofErr w:type="spellEnd"/>
            <w:r w:rsidRPr="00ED4A27">
              <w:t xml:space="preserve">, E. K.; </w:t>
            </w:r>
            <w:proofErr w:type="spellStart"/>
            <w:r w:rsidRPr="00ED4A27">
              <w:t>Dalgarno</w:t>
            </w:r>
            <w:proofErr w:type="spellEnd"/>
            <w:r w:rsidRPr="00ED4A27">
              <w:t xml:space="preserve">, S. J. Linked Supramolecular Building Blocks for Enhanced Cluster Formation. </w:t>
            </w:r>
            <w:r w:rsidRPr="00ED4A27">
              <w:rPr>
                <w:i/>
                <w:iCs/>
              </w:rPr>
              <w:t>Chemistry-a European Journal</w:t>
            </w:r>
            <w:r w:rsidRPr="00ED4A27">
              <w:t xml:space="preserve"> </w:t>
            </w:r>
            <w:r w:rsidRPr="00ED4A27">
              <w:rPr>
                <w:b/>
                <w:bCs/>
              </w:rPr>
              <w:t>2015</w:t>
            </w:r>
            <w:r w:rsidRPr="00ED4A27">
              <w:t xml:space="preserve">, </w:t>
            </w:r>
            <w:r w:rsidRPr="00ED4A27">
              <w:rPr>
                <w:i/>
                <w:iCs/>
              </w:rPr>
              <w:t>21</w:t>
            </w:r>
            <w:r w:rsidRPr="00ED4A27">
              <w:t>, 2804.</w:t>
            </w:r>
          </w:p>
        </w:tc>
      </w:tr>
      <w:tr w:rsidR="002F3854" w:rsidRPr="00607AED" w:rsidTr="006C073C">
        <w:trPr>
          <w:trHeight w:val="315"/>
        </w:trPr>
        <w:tc>
          <w:tcPr>
            <w:tcW w:w="468" w:type="dxa"/>
            <w:shd w:val="clear" w:color="auto" w:fill="auto"/>
            <w:hideMark/>
          </w:tcPr>
          <w:p w:rsidR="002F3854" w:rsidRDefault="002F3854" w:rsidP="006C073C">
            <w:pPr>
              <w:rPr>
                <w:lang w:val="en-ZA"/>
              </w:rPr>
            </w:pPr>
            <w:r>
              <w:rPr>
                <w:lang w:val="en-ZA"/>
              </w:rPr>
              <w:t>71</w:t>
            </w:r>
          </w:p>
        </w:tc>
        <w:tc>
          <w:tcPr>
            <w:tcW w:w="1354" w:type="dxa"/>
            <w:shd w:val="clear" w:color="auto" w:fill="auto"/>
            <w:hideMark/>
          </w:tcPr>
          <w:p w:rsidR="002F3854" w:rsidRDefault="002F3854" w:rsidP="006C073C">
            <w:pPr>
              <w:rPr>
                <w:lang w:val="en-ZA"/>
              </w:rPr>
            </w:pPr>
            <w:r>
              <w:rPr>
                <w:lang w:val="en-ZA"/>
              </w:rPr>
              <w:t>2014</w:t>
            </w:r>
          </w:p>
        </w:tc>
        <w:tc>
          <w:tcPr>
            <w:tcW w:w="8082" w:type="dxa"/>
            <w:shd w:val="clear" w:color="auto" w:fill="auto"/>
            <w:noWrap/>
            <w:hideMark/>
          </w:tcPr>
          <w:p w:rsidR="002F3854" w:rsidRPr="00607AED" w:rsidRDefault="002F3854" w:rsidP="006C073C">
            <w:r w:rsidRPr="00491CA0">
              <w:t xml:space="preserve">Fowler, D. A.; Pfeiffer, C. R.; Teat, S. J.; Beavers, C. M.; Baker, G. A.; Atwood, J. L. Illuminating host-guest </w:t>
            </w:r>
            <w:proofErr w:type="spellStart"/>
            <w:r w:rsidRPr="00491CA0">
              <w:t>cocry</w:t>
            </w:r>
            <w:r>
              <w:t>stallization</w:t>
            </w:r>
            <w:proofErr w:type="spellEnd"/>
            <w:r>
              <w:t xml:space="preserve"> between </w:t>
            </w:r>
            <w:proofErr w:type="spellStart"/>
            <w:r>
              <w:t>pyrogallol</w:t>
            </w:r>
            <w:proofErr w:type="spellEnd"/>
            <w:r>
              <w:t>[</w:t>
            </w:r>
            <w:r w:rsidRPr="00491CA0">
              <w:t>4</w:t>
            </w:r>
            <w:r>
              <w:t>]</w:t>
            </w:r>
            <w:proofErr w:type="spellStart"/>
            <w:r w:rsidRPr="00491CA0">
              <w:t>arenes</w:t>
            </w:r>
            <w:proofErr w:type="spellEnd"/>
            <w:r w:rsidRPr="00491CA0">
              <w:t xml:space="preserve"> and the ionic liquid 1-ethyl-3-methylimidazolium </w:t>
            </w:r>
            <w:proofErr w:type="spellStart"/>
            <w:r w:rsidRPr="00491CA0">
              <w:t>ethylsulfate</w:t>
            </w:r>
            <w:proofErr w:type="spellEnd"/>
            <w:r w:rsidRPr="00491CA0">
              <w:t xml:space="preserve">. </w:t>
            </w:r>
            <w:proofErr w:type="spellStart"/>
            <w:r w:rsidRPr="00491CA0">
              <w:rPr>
                <w:i/>
                <w:iCs/>
              </w:rPr>
              <w:t>Crystengcomm</w:t>
            </w:r>
            <w:proofErr w:type="spellEnd"/>
            <w:r w:rsidRPr="00491CA0">
              <w:t xml:space="preserve"> </w:t>
            </w:r>
            <w:r w:rsidRPr="00491CA0">
              <w:rPr>
                <w:b/>
                <w:bCs/>
              </w:rPr>
              <w:t>2014</w:t>
            </w:r>
            <w:r w:rsidRPr="00491CA0">
              <w:t xml:space="preserve">, </w:t>
            </w:r>
            <w:r w:rsidRPr="00491CA0">
              <w:rPr>
                <w:i/>
                <w:iCs/>
              </w:rPr>
              <w:t>16</w:t>
            </w:r>
            <w:r w:rsidRPr="00491CA0">
              <w:t>, 6010.</w:t>
            </w:r>
          </w:p>
        </w:tc>
      </w:tr>
      <w:tr w:rsidR="002F3854" w:rsidRPr="00491CA0" w:rsidTr="006C073C">
        <w:trPr>
          <w:trHeight w:val="315"/>
        </w:trPr>
        <w:tc>
          <w:tcPr>
            <w:tcW w:w="468" w:type="dxa"/>
            <w:shd w:val="clear" w:color="auto" w:fill="auto"/>
            <w:hideMark/>
          </w:tcPr>
          <w:p w:rsidR="002F3854" w:rsidRDefault="002F3854" w:rsidP="006C073C">
            <w:pPr>
              <w:rPr>
                <w:lang w:val="en-ZA"/>
              </w:rPr>
            </w:pPr>
            <w:r>
              <w:rPr>
                <w:lang w:val="en-ZA"/>
              </w:rPr>
              <w:t>70</w:t>
            </w:r>
          </w:p>
        </w:tc>
        <w:tc>
          <w:tcPr>
            <w:tcW w:w="1354" w:type="dxa"/>
            <w:shd w:val="clear" w:color="auto" w:fill="auto"/>
            <w:hideMark/>
          </w:tcPr>
          <w:p w:rsidR="002F3854" w:rsidRDefault="002F3854" w:rsidP="006C073C">
            <w:pPr>
              <w:rPr>
                <w:lang w:val="en-ZA"/>
              </w:rPr>
            </w:pPr>
          </w:p>
        </w:tc>
        <w:tc>
          <w:tcPr>
            <w:tcW w:w="8082" w:type="dxa"/>
            <w:shd w:val="clear" w:color="auto" w:fill="auto"/>
            <w:noWrap/>
            <w:hideMark/>
          </w:tcPr>
          <w:p w:rsidR="002F3854" w:rsidRPr="00491CA0" w:rsidRDefault="002F3854" w:rsidP="006C073C">
            <w:r w:rsidRPr="00ED4A27">
              <w:t xml:space="preserve">Woodall, C. H.; Fuertes, S.; Beavers, C. M.; Hatcher, L. E.; </w:t>
            </w:r>
            <w:proofErr w:type="spellStart"/>
            <w:r w:rsidRPr="00ED4A27">
              <w:t>Parlett</w:t>
            </w:r>
            <w:proofErr w:type="spellEnd"/>
            <w:r w:rsidRPr="00ED4A27">
              <w:t xml:space="preserve">, A.; Shepherd, H. J.; Christensen, J.; Teat, S. J.; </w:t>
            </w:r>
            <w:proofErr w:type="spellStart"/>
            <w:r w:rsidRPr="00ED4A27">
              <w:t>Intissar</w:t>
            </w:r>
            <w:proofErr w:type="spellEnd"/>
            <w:r w:rsidRPr="00ED4A27">
              <w:t xml:space="preserve">, M.; </w:t>
            </w:r>
            <w:proofErr w:type="spellStart"/>
            <w:r w:rsidRPr="00ED4A27">
              <w:t>Rodrigue-Witchel</w:t>
            </w:r>
            <w:proofErr w:type="spellEnd"/>
            <w:r w:rsidRPr="00ED4A27">
              <w:t xml:space="preserve">, A.; </w:t>
            </w:r>
            <w:proofErr w:type="spellStart"/>
            <w:r w:rsidRPr="00ED4A27">
              <w:t>Suffren</w:t>
            </w:r>
            <w:proofErr w:type="spellEnd"/>
            <w:r w:rsidRPr="00ED4A27">
              <w:t xml:space="preserve">, Y.; </w:t>
            </w:r>
            <w:proofErr w:type="spellStart"/>
            <w:r w:rsidRPr="00ED4A27">
              <w:t>Reber</w:t>
            </w:r>
            <w:proofErr w:type="spellEnd"/>
            <w:r w:rsidRPr="00ED4A27">
              <w:t xml:space="preserve">, C.; Hendon, C. H.; </w:t>
            </w:r>
            <w:proofErr w:type="spellStart"/>
            <w:r w:rsidRPr="00ED4A27">
              <w:t>Tiana</w:t>
            </w:r>
            <w:proofErr w:type="spellEnd"/>
            <w:r w:rsidRPr="00ED4A27">
              <w:t xml:space="preserve">, D.; Walsh, A.; </w:t>
            </w:r>
            <w:proofErr w:type="spellStart"/>
            <w:r w:rsidRPr="00ED4A27">
              <w:t>Raithby</w:t>
            </w:r>
            <w:proofErr w:type="spellEnd"/>
            <w:r w:rsidRPr="00ED4A27">
              <w:t xml:space="preserve">, P. R. Tunable </w:t>
            </w:r>
            <w:proofErr w:type="spellStart"/>
            <w:r w:rsidRPr="00ED4A27">
              <w:t>Trimers</w:t>
            </w:r>
            <w:proofErr w:type="spellEnd"/>
            <w:r w:rsidRPr="00ED4A27">
              <w:t xml:space="preserve">: Using Temperature and Pressure to Control Luminescent Emission in Gold(I) </w:t>
            </w:r>
            <w:proofErr w:type="spellStart"/>
            <w:r w:rsidRPr="00ED4A27">
              <w:t>Pyrazolate</w:t>
            </w:r>
            <w:proofErr w:type="spellEnd"/>
            <w:r w:rsidRPr="00ED4A27">
              <w:t xml:space="preserve">-Based </w:t>
            </w:r>
            <w:proofErr w:type="spellStart"/>
            <w:r w:rsidRPr="00ED4A27">
              <w:t>Trimers</w:t>
            </w:r>
            <w:proofErr w:type="spellEnd"/>
            <w:r w:rsidRPr="00ED4A27">
              <w:t xml:space="preserve">. </w:t>
            </w:r>
            <w:r w:rsidRPr="00ED4A27">
              <w:rPr>
                <w:i/>
                <w:iCs/>
              </w:rPr>
              <w:t>Chemistry-a European Journal</w:t>
            </w:r>
            <w:r w:rsidRPr="00ED4A27">
              <w:t xml:space="preserve"> </w:t>
            </w:r>
            <w:r w:rsidRPr="00ED4A27">
              <w:rPr>
                <w:b/>
                <w:bCs/>
              </w:rPr>
              <w:t>2014</w:t>
            </w:r>
            <w:r w:rsidRPr="00ED4A27">
              <w:t xml:space="preserve">, </w:t>
            </w:r>
            <w:r w:rsidRPr="00ED4A27">
              <w:rPr>
                <w:i/>
                <w:iCs/>
              </w:rPr>
              <w:t>20</w:t>
            </w:r>
            <w:r w:rsidRPr="00ED4A27">
              <w:t>, 16933.</w:t>
            </w:r>
          </w:p>
        </w:tc>
      </w:tr>
      <w:tr w:rsidR="002F3854" w:rsidRPr="00491CA0" w:rsidTr="006C073C">
        <w:trPr>
          <w:trHeight w:val="315"/>
        </w:trPr>
        <w:tc>
          <w:tcPr>
            <w:tcW w:w="468" w:type="dxa"/>
            <w:shd w:val="clear" w:color="auto" w:fill="auto"/>
            <w:hideMark/>
          </w:tcPr>
          <w:p w:rsidR="002F3854" w:rsidRDefault="002F3854" w:rsidP="006C073C">
            <w:pPr>
              <w:rPr>
                <w:lang w:val="en-ZA"/>
              </w:rPr>
            </w:pPr>
            <w:r>
              <w:rPr>
                <w:lang w:val="en-ZA"/>
              </w:rPr>
              <w:t>69</w:t>
            </w:r>
          </w:p>
        </w:tc>
        <w:tc>
          <w:tcPr>
            <w:tcW w:w="1354" w:type="dxa"/>
            <w:shd w:val="clear" w:color="auto" w:fill="auto"/>
            <w:hideMark/>
          </w:tcPr>
          <w:p w:rsidR="002F3854" w:rsidRDefault="002F3854" w:rsidP="006C073C">
            <w:pPr>
              <w:rPr>
                <w:lang w:val="en-ZA"/>
              </w:rPr>
            </w:pPr>
          </w:p>
        </w:tc>
        <w:tc>
          <w:tcPr>
            <w:tcW w:w="8082" w:type="dxa"/>
            <w:shd w:val="clear" w:color="auto" w:fill="auto"/>
            <w:noWrap/>
            <w:hideMark/>
          </w:tcPr>
          <w:p w:rsidR="002F3854" w:rsidRPr="00491CA0" w:rsidRDefault="002F3854" w:rsidP="006C073C">
            <w:r w:rsidRPr="00ED4A27">
              <w:t xml:space="preserve">Kennedy, S.; Beavers, C. M.; Teat, S. J.; </w:t>
            </w:r>
            <w:proofErr w:type="spellStart"/>
            <w:r w:rsidRPr="00ED4A27">
              <w:t>Dalgarno</w:t>
            </w:r>
            <w:proofErr w:type="spellEnd"/>
            <w:r w:rsidRPr="00ED4A27">
              <w:t xml:space="preserve">, S. J. Salt formation affects the </w:t>
            </w:r>
            <w:r w:rsidRPr="00ED4A27">
              <w:lastRenderedPageBreak/>
              <w:t>conformational and assembly properties of p-</w:t>
            </w:r>
            <w:proofErr w:type="spellStart"/>
            <w:r w:rsidRPr="00ED4A27">
              <w:t>carboxylatocalix</w:t>
            </w:r>
            <w:proofErr w:type="spellEnd"/>
            <w:r w:rsidRPr="00ED4A27">
              <w:t xml:space="preserve"> 4 </w:t>
            </w:r>
            <w:proofErr w:type="spellStart"/>
            <w:r w:rsidRPr="00ED4A27">
              <w:t>arenes</w:t>
            </w:r>
            <w:proofErr w:type="spellEnd"/>
            <w:r w:rsidRPr="00ED4A27">
              <w:t xml:space="preserve">. </w:t>
            </w:r>
            <w:proofErr w:type="spellStart"/>
            <w:r w:rsidRPr="00ED4A27">
              <w:rPr>
                <w:i/>
                <w:iCs/>
              </w:rPr>
              <w:t>Crystengcomm</w:t>
            </w:r>
            <w:proofErr w:type="spellEnd"/>
            <w:r w:rsidRPr="00ED4A27">
              <w:t xml:space="preserve"> </w:t>
            </w:r>
            <w:r w:rsidRPr="00ED4A27">
              <w:rPr>
                <w:b/>
                <w:bCs/>
              </w:rPr>
              <w:t>2014</w:t>
            </w:r>
            <w:r w:rsidRPr="00ED4A27">
              <w:t xml:space="preserve">, </w:t>
            </w:r>
            <w:r w:rsidRPr="00ED4A27">
              <w:rPr>
                <w:i/>
                <w:iCs/>
              </w:rPr>
              <w:t>16</w:t>
            </w:r>
            <w:r w:rsidRPr="00ED4A27">
              <w:t>, 3712.</w:t>
            </w:r>
          </w:p>
        </w:tc>
      </w:tr>
      <w:tr w:rsidR="002F3854" w:rsidRPr="00491CA0" w:rsidTr="006C073C">
        <w:trPr>
          <w:trHeight w:val="315"/>
        </w:trPr>
        <w:tc>
          <w:tcPr>
            <w:tcW w:w="468" w:type="dxa"/>
            <w:shd w:val="clear" w:color="auto" w:fill="auto"/>
            <w:hideMark/>
          </w:tcPr>
          <w:p w:rsidR="002F3854" w:rsidRDefault="002F3854" w:rsidP="006C073C">
            <w:pPr>
              <w:rPr>
                <w:lang w:val="en-ZA"/>
              </w:rPr>
            </w:pPr>
            <w:r>
              <w:rPr>
                <w:lang w:val="en-ZA"/>
              </w:rPr>
              <w:lastRenderedPageBreak/>
              <w:t>68</w:t>
            </w:r>
          </w:p>
        </w:tc>
        <w:tc>
          <w:tcPr>
            <w:tcW w:w="1354" w:type="dxa"/>
            <w:shd w:val="clear" w:color="auto" w:fill="auto"/>
            <w:hideMark/>
          </w:tcPr>
          <w:p w:rsidR="002F3854" w:rsidRDefault="002F3854" w:rsidP="006C073C">
            <w:pPr>
              <w:rPr>
                <w:lang w:val="en-ZA"/>
              </w:rPr>
            </w:pPr>
          </w:p>
        </w:tc>
        <w:tc>
          <w:tcPr>
            <w:tcW w:w="8082" w:type="dxa"/>
            <w:shd w:val="clear" w:color="auto" w:fill="auto"/>
            <w:noWrap/>
            <w:hideMark/>
          </w:tcPr>
          <w:p w:rsidR="002F3854" w:rsidRPr="00491CA0" w:rsidRDefault="002F3854" w:rsidP="006C073C">
            <w:proofErr w:type="spellStart"/>
            <w:r w:rsidRPr="00ED4A27">
              <w:t>Alemayehu</w:t>
            </w:r>
            <w:proofErr w:type="spellEnd"/>
            <w:r w:rsidRPr="00ED4A27">
              <w:t xml:space="preserve">, A. B.; Vazquez-Lima, H.; Beavers, C. M.; Gagnon, K. J.; </w:t>
            </w:r>
            <w:proofErr w:type="spellStart"/>
            <w:r w:rsidRPr="00ED4A27">
              <w:t>Bendix</w:t>
            </w:r>
            <w:proofErr w:type="spellEnd"/>
            <w:r w:rsidRPr="00ED4A27">
              <w:t xml:space="preserve">, J.; </w:t>
            </w:r>
            <w:proofErr w:type="spellStart"/>
            <w:r w:rsidRPr="00ED4A27">
              <w:t>Ghosh</w:t>
            </w:r>
            <w:proofErr w:type="spellEnd"/>
            <w:r w:rsidRPr="00ED4A27">
              <w:t xml:space="preserve">, A. Platinum </w:t>
            </w:r>
            <w:proofErr w:type="spellStart"/>
            <w:r w:rsidRPr="00ED4A27">
              <w:t>corroles</w:t>
            </w:r>
            <w:proofErr w:type="spellEnd"/>
            <w:r w:rsidRPr="00ED4A27">
              <w:t xml:space="preserve">. </w:t>
            </w:r>
            <w:r w:rsidRPr="00ED4A27">
              <w:rPr>
                <w:i/>
                <w:iCs/>
              </w:rPr>
              <w:t>Chemical Communications</w:t>
            </w:r>
            <w:r w:rsidRPr="00ED4A27">
              <w:t xml:space="preserve"> </w:t>
            </w:r>
            <w:r w:rsidRPr="00ED4A27">
              <w:rPr>
                <w:b/>
                <w:bCs/>
              </w:rPr>
              <w:t>2014</w:t>
            </w:r>
            <w:r w:rsidRPr="00ED4A27">
              <w:t xml:space="preserve">, </w:t>
            </w:r>
            <w:r w:rsidRPr="00ED4A27">
              <w:rPr>
                <w:i/>
                <w:iCs/>
              </w:rPr>
              <w:t>50</w:t>
            </w:r>
            <w:r w:rsidRPr="00ED4A27">
              <w:t>, 11093.</w:t>
            </w:r>
          </w:p>
        </w:tc>
      </w:tr>
      <w:tr w:rsidR="002F3854" w:rsidRPr="00607AED" w:rsidTr="006C073C">
        <w:trPr>
          <w:trHeight w:val="315"/>
        </w:trPr>
        <w:tc>
          <w:tcPr>
            <w:tcW w:w="468" w:type="dxa"/>
            <w:shd w:val="clear" w:color="auto" w:fill="auto"/>
            <w:hideMark/>
          </w:tcPr>
          <w:p w:rsidR="002F3854" w:rsidRDefault="002F3854" w:rsidP="006C073C">
            <w:pPr>
              <w:rPr>
                <w:lang w:val="en-ZA"/>
              </w:rPr>
            </w:pPr>
            <w:r>
              <w:rPr>
                <w:lang w:val="en-ZA"/>
              </w:rPr>
              <w:t>67</w:t>
            </w:r>
          </w:p>
        </w:tc>
        <w:tc>
          <w:tcPr>
            <w:tcW w:w="1354" w:type="dxa"/>
            <w:shd w:val="clear" w:color="auto" w:fill="auto"/>
            <w:hideMark/>
          </w:tcPr>
          <w:p w:rsidR="002F3854" w:rsidRDefault="002F3854" w:rsidP="006C073C">
            <w:pPr>
              <w:rPr>
                <w:lang w:val="en-ZA"/>
              </w:rPr>
            </w:pPr>
          </w:p>
        </w:tc>
        <w:tc>
          <w:tcPr>
            <w:tcW w:w="8082" w:type="dxa"/>
            <w:shd w:val="clear" w:color="auto" w:fill="auto"/>
            <w:noWrap/>
            <w:hideMark/>
          </w:tcPr>
          <w:p w:rsidR="002F3854" w:rsidRPr="00607AED" w:rsidRDefault="002F3854" w:rsidP="006C073C">
            <w:r w:rsidRPr="00491CA0">
              <w:t xml:space="preserve">Hatcher, L. E.; </w:t>
            </w:r>
            <w:proofErr w:type="spellStart"/>
            <w:r w:rsidRPr="00491CA0">
              <w:t>Bigos</w:t>
            </w:r>
            <w:proofErr w:type="spellEnd"/>
            <w:r w:rsidRPr="00491CA0">
              <w:t xml:space="preserve">, E. J.; Bryant, M. J.; </w:t>
            </w:r>
            <w:proofErr w:type="spellStart"/>
            <w:r w:rsidRPr="00491CA0">
              <w:t>MacCready</w:t>
            </w:r>
            <w:proofErr w:type="spellEnd"/>
            <w:r w:rsidRPr="00491CA0">
              <w:t xml:space="preserve">, E. M.; Robinson, T. P.; Saunders, L. K.; Thomas, L. H.; Beavers, C. M.; Teat, S. J.; Christensen, J.; </w:t>
            </w:r>
            <w:proofErr w:type="spellStart"/>
            <w:r w:rsidRPr="00491CA0">
              <w:t>Raithby</w:t>
            </w:r>
            <w:proofErr w:type="spellEnd"/>
            <w:r w:rsidRPr="00491CA0">
              <w:t>, P. R. Thermal and photochemical control of nitro-</w:t>
            </w:r>
            <w:proofErr w:type="spellStart"/>
            <w:r w:rsidRPr="00491CA0">
              <w:t>nitrito</w:t>
            </w:r>
            <w:proofErr w:type="spellEnd"/>
            <w:r w:rsidRPr="00491CA0">
              <w:t xml:space="preserve"> linkage isomerism in single-crystals of Ni(</w:t>
            </w:r>
            <w:proofErr w:type="spellStart"/>
            <w:r w:rsidRPr="00491CA0">
              <w:t>medpt</w:t>
            </w:r>
            <w:proofErr w:type="spellEnd"/>
            <w:r w:rsidRPr="00491CA0">
              <w:t xml:space="preserve">)(NO2)(eta(2)-ONO). </w:t>
            </w:r>
            <w:proofErr w:type="spellStart"/>
            <w:r w:rsidRPr="00491CA0">
              <w:rPr>
                <w:i/>
                <w:iCs/>
              </w:rPr>
              <w:t>Crystengcomm</w:t>
            </w:r>
            <w:proofErr w:type="spellEnd"/>
            <w:r w:rsidRPr="00491CA0">
              <w:t xml:space="preserve"> </w:t>
            </w:r>
            <w:r w:rsidRPr="00491CA0">
              <w:rPr>
                <w:b/>
                <w:bCs/>
              </w:rPr>
              <w:t>2014</w:t>
            </w:r>
            <w:r w:rsidRPr="00491CA0">
              <w:t xml:space="preserve">, </w:t>
            </w:r>
            <w:r w:rsidRPr="00491CA0">
              <w:rPr>
                <w:i/>
                <w:iCs/>
              </w:rPr>
              <w:t>16</w:t>
            </w:r>
            <w:r w:rsidRPr="00491CA0">
              <w:t>, 8263.</w:t>
            </w:r>
          </w:p>
        </w:tc>
      </w:tr>
      <w:tr w:rsidR="002F3854" w:rsidRPr="00607AED" w:rsidTr="006C073C">
        <w:trPr>
          <w:trHeight w:val="315"/>
        </w:trPr>
        <w:tc>
          <w:tcPr>
            <w:tcW w:w="468" w:type="dxa"/>
            <w:shd w:val="clear" w:color="auto" w:fill="auto"/>
            <w:hideMark/>
          </w:tcPr>
          <w:p w:rsidR="002F3854" w:rsidRDefault="002F3854" w:rsidP="006C073C">
            <w:pPr>
              <w:rPr>
                <w:lang w:val="en-ZA"/>
              </w:rPr>
            </w:pPr>
            <w:r>
              <w:rPr>
                <w:lang w:val="en-ZA"/>
              </w:rPr>
              <w:t>66</w:t>
            </w:r>
          </w:p>
        </w:tc>
        <w:tc>
          <w:tcPr>
            <w:tcW w:w="1354" w:type="dxa"/>
            <w:shd w:val="clear" w:color="auto" w:fill="auto"/>
            <w:hideMark/>
          </w:tcPr>
          <w:p w:rsidR="002F3854" w:rsidRDefault="002F3854" w:rsidP="006C073C">
            <w:pPr>
              <w:rPr>
                <w:lang w:val="en-ZA"/>
              </w:rPr>
            </w:pPr>
          </w:p>
        </w:tc>
        <w:tc>
          <w:tcPr>
            <w:tcW w:w="8082" w:type="dxa"/>
            <w:shd w:val="clear" w:color="auto" w:fill="auto"/>
            <w:noWrap/>
            <w:hideMark/>
          </w:tcPr>
          <w:p w:rsidR="002F3854" w:rsidRPr="00607AED" w:rsidRDefault="002F3854" w:rsidP="006C073C">
            <w:proofErr w:type="spellStart"/>
            <w:r w:rsidRPr="00491CA0">
              <w:t>Albrett</w:t>
            </w:r>
            <w:proofErr w:type="spellEnd"/>
            <w:r w:rsidRPr="00491CA0">
              <w:t xml:space="preserve">, A. M.; Thomas, K. E.; </w:t>
            </w:r>
            <w:proofErr w:type="spellStart"/>
            <w:r w:rsidRPr="00491CA0">
              <w:t>Maslek</w:t>
            </w:r>
            <w:proofErr w:type="spellEnd"/>
            <w:r w:rsidRPr="00491CA0">
              <w:t xml:space="preserve">, S.; </w:t>
            </w:r>
            <w:proofErr w:type="spellStart"/>
            <w:r w:rsidRPr="00491CA0">
              <w:t>Mlodzianowska</w:t>
            </w:r>
            <w:proofErr w:type="spellEnd"/>
            <w:r w:rsidRPr="00491CA0">
              <w:t xml:space="preserve">, A.; </w:t>
            </w:r>
            <w:proofErr w:type="spellStart"/>
            <w:r w:rsidRPr="00491CA0">
              <w:t>Conradie</w:t>
            </w:r>
            <w:proofErr w:type="spellEnd"/>
            <w:r w:rsidRPr="00491CA0">
              <w:t xml:space="preserve">, J.; Beavers, C. M.; </w:t>
            </w:r>
            <w:proofErr w:type="spellStart"/>
            <w:r w:rsidRPr="00491CA0">
              <w:t>Ghosh</w:t>
            </w:r>
            <w:proofErr w:type="spellEnd"/>
            <w:r w:rsidRPr="00491CA0">
              <w:t xml:space="preserve">, A.; Brothers, P. J. Mono- and </w:t>
            </w:r>
            <w:proofErr w:type="spellStart"/>
            <w:r w:rsidRPr="00491CA0">
              <w:t>Diboron</w:t>
            </w:r>
            <w:proofErr w:type="spellEnd"/>
            <w:r w:rsidRPr="00491CA0">
              <w:t xml:space="preserve"> </w:t>
            </w:r>
            <w:proofErr w:type="spellStart"/>
            <w:r w:rsidRPr="00491CA0">
              <w:t>Corroles</w:t>
            </w:r>
            <w:proofErr w:type="spellEnd"/>
            <w:r w:rsidRPr="00491CA0">
              <w:t xml:space="preserve">: Factors Controlling </w:t>
            </w:r>
            <w:proofErr w:type="spellStart"/>
            <w:r w:rsidRPr="00491CA0">
              <w:t>Stoichiometry</w:t>
            </w:r>
            <w:proofErr w:type="spellEnd"/>
            <w:r w:rsidRPr="00491CA0">
              <w:t xml:space="preserve"> and Hydrolytic Reactivity. </w:t>
            </w:r>
            <w:r w:rsidRPr="00491CA0">
              <w:rPr>
                <w:i/>
                <w:iCs/>
              </w:rPr>
              <w:t>Inorganic Chemistry</w:t>
            </w:r>
            <w:r w:rsidRPr="00491CA0">
              <w:t xml:space="preserve"> </w:t>
            </w:r>
            <w:r w:rsidRPr="00491CA0">
              <w:rPr>
                <w:b/>
                <w:bCs/>
              </w:rPr>
              <w:t>2014</w:t>
            </w:r>
            <w:r w:rsidRPr="00491CA0">
              <w:t xml:space="preserve">, </w:t>
            </w:r>
            <w:r w:rsidRPr="00491CA0">
              <w:rPr>
                <w:i/>
                <w:iCs/>
              </w:rPr>
              <w:t>53</w:t>
            </w:r>
            <w:r w:rsidRPr="00491CA0">
              <w:t>, 5486.</w:t>
            </w:r>
          </w:p>
        </w:tc>
      </w:tr>
      <w:tr w:rsidR="002F3854" w:rsidRPr="00607AED" w:rsidTr="006C073C">
        <w:trPr>
          <w:trHeight w:val="315"/>
        </w:trPr>
        <w:tc>
          <w:tcPr>
            <w:tcW w:w="468" w:type="dxa"/>
            <w:shd w:val="clear" w:color="auto" w:fill="auto"/>
            <w:hideMark/>
          </w:tcPr>
          <w:p w:rsidR="002F3854" w:rsidRDefault="002F3854" w:rsidP="006C073C">
            <w:pPr>
              <w:rPr>
                <w:lang w:val="en-ZA"/>
              </w:rPr>
            </w:pPr>
            <w:r>
              <w:rPr>
                <w:lang w:val="en-ZA"/>
              </w:rPr>
              <w:t>65</w:t>
            </w:r>
          </w:p>
        </w:tc>
        <w:tc>
          <w:tcPr>
            <w:tcW w:w="1354" w:type="dxa"/>
            <w:shd w:val="clear" w:color="auto" w:fill="auto"/>
            <w:hideMark/>
          </w:tcPr>
          <w:p w:rsidR="002F3854" w:rsidRDefault="002F3854" w:rsidP="006C073C">
            <w:pPr>
              <w:rPr>
                <w:lang w:val="en-ZA"/>
              </w:rPr>
            </w:pPr>
          </w:p>
        </w:tc>
        <w:tc>
          <w:tcPr>
            <w:tcW w:w="8082" w:type="dxa"/>
            <w:shd w:val="clear" w:color="auto" w:fill="auto"/>
            <w:noWrap/>
            <w:hideMark/>
          </w:tcPr>
          <w:p w:rsidR="002F3854" w:rsidRPr="00607AED" w:rsidRDefault="002F3854" w:rsidP="006C073C">
            <w:r w:rsidRPr="00491CA0">
              <w:t>Alberto Rodriguez-</w:t>
            </w:r>
            <w:proofErr w:type="spellStart"/>
            <w:r w:rsidRPr="00491CA0">
              <w:t>Velamazan</w:t>
            </w:r>
            <w:proofErr w:type="spellEnd"/>
            <w:r w:rsidRPr="00491CA0">
              <w:t xml:space="preserve">, J.; </w:t>
            </w:r>
            <w:proofErr w:type="spellStart"/>
            <w:r w:rsidRPr="00491CA0">
              <w:t>Fabelo</w:t>
            </w:r>
            <w:proofErr w:type="spellEnd"/>
            <w:r w:rsidRPr="00491CA0">
              <w:t xml:space="preserve">, O.; Beavers, C. M.; </w:t>
            </w:r>
            <w:proofErr w:type="spellStart"/>
            <w:r w:rsidRPr="00491CA0">
              <w:t>Natividad</w:t>
            </w:r>
            <w:proofErr w:type="spellEnd"/>
            <w:r w:rsidRPr="00491CA0">
              <w:t xml:space="preserve">, E.; </w:t>
            </w:r>
            <w:proofErr w:type="spellStart"/>
            <w:r w:rsidRPr="00491CA0">
              <w:t>Evangelisti</w:t>
            </w:r>
            <w:proofErr w:type="spellEnd"/>
            <w:r w:rsidRPr="00491CA0">
              <w:t xml:space="preserve">, M.; </w:t>
            </w:r>
            <w:proofErr w:type="spellStart"/>
            <w:r w:rsidRPr="00491CA0">
              <w:t>Roubeau</w:t>
            </w:r>
            <w:proofErr w:type="spellEnd"/>
            <w:r w:rsidRPr="00491CA0">
              <w:t xml:space="preserve">, O. A Multifunctional Magnetic Material under Pressure. </w:t>
            </w:r>
            <w:r w:rsidRPr="00491CA0">
              <w:rPr>
                <w:i/>
                <w:iCs/>
              </w:rPr>
              <w:t>Chemistry-a European Journal</w:t>
            </w:r>
            <w:r w:rsidRPr="00491CA0">
              <w:t xml:space="preserve"> </w:t>
            </w:r>
            <w:r w:rsidRPr="00491CA0">
              <w:rPr>
                <w:b/>
                <w:bCs/>
              </w:rPr>
              <w:t>2014</w:t>
            </w:r>
            <w:r w:rsidRPr="00491CA0">
              <w:t xml:space="preserve">, </w:t>
            </w:r>
            <w:r w:rsidRPr="00491CA0">
              <w:rPr>
                <w:i/>
                <w:iCs/>
              </w:rPr>
              <w:t>20</w:t>
            </w:r>
            <w:r w:rsidRPr="00491CA0">
              <w:t>, 7956.</w:t>
            </w:r>
          </w:p>
        </w:tc>
      </w:tr>
      <w:tr w:rsidR="002F3854" w:rsidRPr="00073725" w:rsidTr="006C073C">
        <w:trPr>
          <w:trHeight w:val="315"/>
        </w:trPr>
        <w:tc>
          <w:tcPr>
            <w:tcW w:w="468" w:type="dxa"/>
            <w:shd w:val="clear" w:color="auto" w:fill="auto"/>
            <w:hideMark/>
          </w:tcPr>
          <w:p w:rsidR="002F3854" w:rsidRDefault="002F3854" w:rsidP="006C073C">
            <w:pPr>
              <w:rPr>
                <w:lang w:val="en-ZA"/>
              </w:rPr>
            </w:pPr>
            <w:r>
              <w:rPr>
                <w:lang w:val="en-ZA"/>
              </w:rPr>
              <w:t>64</w:t>
            </w:r>
          </w:p>
        </w:tc>
        <w:tc>
          <w:tcPr>
            <w:tcW w:w="1354" w:type="dxa"/>
            <w:shd w:val="clear" w:color="auto" w:fill="auto"/>
            <w:hideMark/>
          </w:tcPr>
          <w:p w:rsidR="002F3854" w:rsidRDefault="002F3854" w:rsidP="006C073C">
            <w:pPr>
              <w:rPr>
                <w:lang w:val="en-ZA"/>
              </w:rPr>
            </w:pPr>
          </w:p>
        </w:tc>
        <w:tc>
          <w:tcPr>
            <w:tcW w:w="8082" w:type="dxa"/>
            <w:shd w:val="clear" w:color="auto" w:fill="auto"/>
            <w:noWrap/>
            <w:hideMark/>
          </w:tcPr>
          <w:p w:rsidR="002F3854" w:rsidRPr="00073725" w:rsidRDefault="002F3854" w:rsidP="006C073C">
            <w:r w:rsidRPr="00ED4A27">
              <w:t xml:space="preserve">O'Bannon, E., III; Beavers, C. M.; Williams, Q. </w:t>
            </w:r>
            <w:proofErr w:type="spellStart"/>
            <w:r w:rsidRPr="00ED4A27">
              <w:t>Trona</w:t>
            </w:r>
            <w:proofErr w:type="spellEnd"/>
            <w:r w:rsidRPr="00ED4A27">
              <w:t xml:space="preserve"> at extreme conditions: A pollutant-sequestering material at high pressures and low temperatures. </w:t>
            </w:r>
            <w:proofErr w:type="spellStart"/>
            <w:r w:rsidRPr="00ED4A27">
              <w:rPr>
                <w:i/>
                <w:iCs/>
              </w:rPr>
              <w:t>AmMin</w:t>
            </w:r>
            <w:proofErr w:type="spellEnd"/>
            <w:r w:rsidRPr="00ED4A27">
              <w:t xml:space="preserve"> </w:t>
            </w:r>
            <w:r w:rsidRPr="00ED4A27">
              <w:rPr>
                <w:b/>
                <w:bCs/>
              </w:rPr>
              <w:t>2014</w:t>
            </w:r>
            <w:r w:rsidRPr="00ED4A27">
              <w:t xml:space="preserve">, </w:t>
            </w:r>
            <w:r w:rsidRPr="00ED4A27">
              <w:rPr>
                <w:i/>
                <w:iCs/>
              </w:rPr>
              <w:t>99</w:t>
            </w:r>
            <w:r w:rsidRPr="00ED4A27">
              <w:t>, 1973.</w:t>
            </w:r>
          </w:p>
        </w:tc>
      </w:tr>
      <w:tr w:rsidR="002F3854" w:rsidRPr="00073725" w:rsidTr="006C073C">
        <w:trPr>
          <w:trHeight w:val="315"/>
        </w:trPr>
        <w:tc>
          <w:tcPr>
            <w:tcW w:w="468" w:type="dxa"/>
            <w:shd w:val="clear" w:color="auto" w:fill="auto"/>
            <w:hideMark/>
          </w:tcPr>
          <w:p w:rsidR="002F3854" w:rsidRDefault="002F3854" w:rsidP="006C073C">
            <w:pPr>
              <w:rPr>
                <w:lang w:val="en-ZA"/>
              </w:rPr>
            </w:pPr>
            <w:r>
              <w:rPr>
                <w:lang w:val="en-ZA"/>
              </w:rPr>
              <w:t>63</w:t>
            </w:r>
          </w:p>
        </w:tc>
        <w:tc>
          <w:tcPr>
            <w:tcW w:w="1354" w:type="dxa"/>
            <w:shd w:val="clear" w:color="auto" w:fill="auto"/>
            <w:hideMark/>
          </w:tcPr>
          <w:p w:rsidR="002F3854" w:rsidRDefault="002F3854" w:rsidP="006C073C">
            <w:pPr>
              <w:rPr>
                <w:lang w:val="en-ZA"/>
              </w:rPr>
            </w:pPr>
          </w:p>
        </w:tc>
        <w:tc>
          <w:tcPr>
            <w:tcW w:w="8082" w:type="dxa"/>
            <w:shd w:val="clear" w:color="auto" w:fill="auto"/>
            <w:noWrap/>
            <w:hideMark/>
          </w:tcPr>
          <w:p w:rsidR="002F3854" w:rsidRPr="00073725" w:rsidRDefault="002F3854" w:rsidP="006C073C">
            <w:r w:rsidRPr="00073725">
              <w:t xml:space="preserve">Sanchez Costa, J.; Rodriguez-Jimenez, S.; Craig, G. A.; Barth, B.; Beavers, C. M.; Teat, S. J.; </w:t>
            </w:r>
            <w:proofErr w:type="spellStart"/>
            <w:r w:rsidRPr="00073725">
              <w:t>Aromi</w:t>
            </w:r>
            <w:proofErr w:type="spellEnd"/>
            <w:r w:rsidRPr="00073725">
              <w:t xml:space="preserve">, G. Three-Way Crystal-to-Crystal Reversible Transformation and Controlled Spin Switching by a Nonporous Molecular Material. </w:t>
            </w:r>
            <w:r w:rsidRPr="00073725">
              <w:rPr>
                <w:i/>
                <w:iCs/>
              </w:rPr>
              <w:t>Journal of the American Chemical Society</w:t>
            </w:r>
            <w:r w:rsidRPr="00073725">
              <w:t xml:space="preserve"> </w:t>
            </w:r>
            <w:r w:rsidRPr="00073725">
              <w:rPr>
                <w:b/>
                <w:bCs/>
              </w:rPr>
              <w:t>2014</w:t>
            </w:r>
            <w:r w:rsidRPr="00073725">
              <w:t xml:space="preserve">, </w:t>
            </w:r>
            <w:r w:rsidRPr="00073725">
              <w:rPr>
                <w:i/>
                <w:iCs/>
              </w:rPr>
              <w:t>136</w:t>
            </w:r>
            <w:r w:rsidRPr="00073725">
              <w:t>, 3869.</w:t>
            </w:r>
          </w:p>
        </w:tc>
      </w:tr>
      <w:tr w:rsidR="002F3854" w:rsidRPr="00073725" w:rsidTr="006C073C">
        <w:trPr>
          <w:trHeight w:val="315"/>
        </w:trPr>
        <w:tc>
          <w:tcPr>
            <w:tcW w:w="468" w:type="dxa"/>
            <w:shd w:val="clear" w:color="auto" w:fill="auto"/>
            <w:hideMark/>
          </w:tcPr>
          <w:p w:rsidR="002F3854" w:rsidRDefault="002F3854" w:rsidP="006C073C">
            <w:pPr>
              <w:rPr>
                <w:lang w:val="en-ZA"/>
              </w:rPr>
            </w:pPr>
            <w:r>
              <w:rPr>
                <w:lang w:val="en-ZA"/>
              </w:rPr>
              <w:t>62</w:t>
            </w:r>
          </w:p>
        </w:tc>
        <w:tc>
          <w:tcPr>
            <w:tcW w:w="1354" w:type="dxa"/>
            <w:shd w:val="clear" w:color="auto" w:fill="auto"/>
            <w:hideMark/>
          </w:tcPr>
          <w:p w:rsidR="002F3854" w:rsidRDefault="002F3854" w:rsidP="006C073C">
            <w:pPr>
              <w:rPr>
                <w:lang w:val="en-ZA"/>
              </w:rPr>
            </w:pPr>
          </w:p>
        </w:tc>
        <w:tc>
          <w:tcPr>
            <w:tcW w:w="8082" w:type="dxa"/>
            <w:shd w:val="clear" w:color="auto" w:fill="auto"/>
            <w:noWrap/>
            <w:hideMark/>
          </w:tcPr>
          <w:p w:rsidR="002F3854" w:rsidRPr="00073725" w:rsidRDefault="002F3854" w:rsidP="006C073C">
            <w:proofErr w:type="spellStart"/>
            <w:r w:rsidRPr="00073725">
              <w:t>Zuo</w:t>
            </w:r>
            <w:proofErr w:type="spellEnd"/>
            <w:r w:rsidRPr="00073725">
              <w:t>, T.; Dorn, H. C.; Beavers, C. M.; Olmstead, M. M.; Balch, A. L. Isolation and Crystallographic Characterization of Tm3N@D-</w:t>
            </w:r>
            <w:proofErr w:type="gramStart"/>
            <w:r w:rsidRPr="00073725">
              <w:t>2(</w:t>
            </w:r>
            <w:proofErr w:type="gramEnd"/>
            <w:r w:rsidRPr="00073725">
              <w:t xml:space="preserve">35)-C-88. </w:t>
            </w:r>
            <w:r w:rsidRPr="00073725">
              <w:rPr>
                <w:i/>
                <w:iCs/>
              </w:rPr>
              <w:t xml:space="preserve">Fullerenes </w:t>
            </w:r>
            <w:proofErr w:type="spellStart"/>
            <w:r w:rsidRPr="00073725">
              <w:rPr>
                <w:i/>
                <w:iCs/>
              </w:rPr>
              <w:t>Nanotubes</w:t>
            </w:r>
            <w:proofErr w:type="spellEnd"/>
            <w:r w:rsidRPr="00073725">
              <w:rPr>
                <w:i/>
                <w:iCs/>
              </w:rPr>
              <w:t xml:space="preserve"> and Carbon Nanostructures</w:t>
            </w:r>
            <w:r w:rsidRPr="00073725">
              <w:t xml:space="preserve"> </w:t>
            </w:r>
            <w:r w:rsidRPr="00073725">
              <w:rPr>
                <w:b/>
                <w:bCs/>
              </w:rPr>
              <w:t>2014</w:t>
            </w:r>
            <w:r w:rsidRPr="00073725">
              <w:t xml:space="preserve">, </w:t>
            </w:r>
            <w:r w:rsidRPr="00073725">
              <w:rPr>
                <w:i/>
                <w:iCs/>
              </w:rPr>
              <w:t>22</w:t>
            </w:r>
            <w:r w:rsidRPr="00073725">
              <w:t>, 280.</w:t>
            </w:r>
          </w:p>
        </w:tc>
      </w:tr>
    </w:tbl>
    <w:p w:rsidR="002F3854" w:rsidRDefault="002F3854" w:rsidP="002F3854"/>
    <w:sectPr w:rsidR="002F3854" w:rsidSect="00285B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dobe Garamond Pro">
    <w:panose1 w:val="00000000000000000000"/>
    <w:charset w:val="00"/>
    <w:family w:val="roman"/>
    <w:notTrueType/>
    <w:pitch w:val="variable"/>
    <w:sig w:usb0="00000007" w:usb1="00000001" w:usb2="00000000" w:usb3="00000000" w:csb0="00000093"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3"/>
  <w:proofState w:spelling="clean" w:grammar="clean"/>
  <w:defaultTabStop w:val="720"/>
  <w:characterSpacingControl w:val="doNotCompress"/>
  <w:compat/>
  <w:rsids>
    <w:rsidRoot w:val="005F117C"/>
    <w:rsid w:val="00073231"/>
    <w:rsid w:val="00093393"/>
    <w:rsid w:val="000A4F9D"/>
    <w:rsid w:val="000D71A4"/>
    <w:rsid w:val="000F74DF"/>
    <w:rsid w:val="00125165"/>
    <w:rsid w:val="00144050"/>
    <w:rsid w:val="00145FB8"/>
    <w:rsid w:val="00153E34"/>
    <w:rsid w:val="001614DF"/>
    <w:rsid w:val="00184D3C"/>
    <w:rsid w:val="00184DD1"/>
    <w:rsid w:val="00195625"/>
    <w:rsid w:val="001B5CE1"/>
    <w:rsid w:val="00224EF0"/>
    <w:rsid w:val="002538DF"/>
    <w:rsid w:val="00254F83"/>
    <w:rsid w:val="00255F72"/>
    <w:rsid w:val="002715E6"/>
    <w:rsid w:val="002734CC"/>
    <w:rsid w:val="00285B26"/>
    <w:rsid w:val="002E547B"/>
    <w:rsid w:val="002F3854"/>
    <w:rsid w:val="003056DA"/>
    <w:rsid w:val="00310E18"/>
    <w:rsid w:val="00326BB6"/>
    <w:rsid w:val="003366F1"/>
    <w:rsid w:val="00366801"/>
    <w:rsid w:val="003714EA"/>
    <w:rsid w:val="00374934"/>
    <w:rsid w:val="00397A9C"/>
    <w:rsid w:val="003C2997"/>
    <w:rsid w:val="003C31D3"/>
    <w:rsid w:val="003D0EE3"/>
    <w:rsid w:val="003F57FC"/>
    <w:rsid w:val="00407DD6"/>
    <w:rsid w:val="004304FE"/>
    <w:rsid w:val="004662FD"/>
    <w:rsid w:val="00472F1A"/>
    <w:rsid w:val="0049586E"/>
    <w:rsid w:val="004C1CA7"/>
    <w:rsid w:val="004D1A77"/>
    <w:rsid w:val="004D21E8"/>
    <w:rsid w:val="004D4BEA"/>
    <w:rsid w:val="004F0C65"/>
    <w:rsid w:val="004F5461"/>
    <w:rsid w:val="005205C3"/>
    <w:rsid w:val="00521579"/>
    <w:rsid w:val="00542C75"/>
    <w:rsid w:val="0057156E"/>
    <w:rsid w:val="00592DFB"/>
    <w:rsid w:val="00593C1C"/>
    <w:rsid w:val="005A15B5"/>
    <w:rsid w:val="005A6D49"/>
    <w:rsid w:val="005F117C"/>
    <w:rsid w:val="00600407"/>
    <w:rsid w:val="006127DA"/>
    <w:rsid w:val="00613374"/>
    <w:rsid w:val="00643E45"/>
    <w:rsid w:val="00644F27"/>
    <w:rsid w:val="00664989"/>
    <w:rsid w:val="00680707"/>
    <w:rsid w:val="006B3ED4"/>
    <w:rsid w:val="006C4A08"/>
    <w:rsid w:val="006E16A9"/>
    <w:rsid w:val="00701556"/>
    <w:rsid w:val="007526D6"/>
    <w:rsid w:val="00761989"/>
    <w:rsid w:val="0078208F"/>
    <w:rsid w:val="007821CF"/>
    <w:rsid w:val="00782475"/>
    <w:rsid w:val="007858D5"/>
    <w:rsid w:val="0079185A"/>
    <w:rsid w:val="00794E50"/>
    <w:rsid w:val="007B2327"/>
    <w:rsid w:val="007D3460"/>
    <w:rsid w:val="007E5C11"/>
    <w:rsid w:val="008064A2"/>
    <w:rsid w:val="00813235"/>
    <w:rsid w:val="00817CDD"/>
    <w:rsid w:val="008339C6"/>
    <w:rsid w:val="008403B3"/>
    <w:rsid w:val="00870F5C"/>
    <w:rsid w:val="00874175"/>
    <w:rsid w:val="00881C51"/>
    <w:rsid w:val="008B7709"/>
    <w:rsid w:val="008B7788"/>
    <w:rsid w:val="008B7C05"/>
    <w:rsid w:val="008C550A"/>
    <w:rsid w:val="008E4514"/>
    <w:rsid w:val="009435C0"/>
    <w:rsid w:val="0097597A"/>
    <w:rsid w:val="00997670"/>
    <w:rsid w:val="009B2EA1"/>
    <w:rsid w:val="009D6DB4"/>
    <w:rsid w:val="009E20FC"/>
    <w:rsid w:val="00A0109D"/>
    <w:rsid w:val="00A043AA"/>
    <w:rsid w:val="00A046C4"/>
    <w:rsid w:val="00A1138B"/>
    <w:rsid w:val="00A2143A"/>
    <w:rsid w:val="00A328C3"/>
    <w:rsid w:val="00A76724"/>
    <w:rsid w:val="00A913DA"/>
    <w:rsid w:val="00AA6ACC"/>
    <w:rsid w:val="00B1618B"/>
    <w:rsid w:val="00B431CF"/>
    <w:rsid w:val="00B54A5E"/>
    <w:rsid w:val="00B62104"/>
    <w:rsid w:val="00B64463"/>
    <w:rsid w:val="00B83A7D"/>
    <w:rsid w:val="00BD3468"/>
    <w:rsid w:val="00C125F5"/>
    <w:rsid w:val="00C53FE2"/>
    <w:rsid w:val="00C814C9"/>
    <w:rsid w:val="00C83228"/>
    <w:rsid w:val="00C8571B"/>
    <w:rsid w:val="00CD4746"/>
    <w:rsid w:val="00D04326"/>
    <w:rsid w:val="00D151C4"/>
    <w:rsid w:val="00D3127D"/>
    <w:rsid w:val="00D36871"/>
    <w:rsid w:val="00D375DA"/>
    <w:rsid w:val="00D60C1D"/>
    <w:rsid w:val="00DB1D4F"/>
    <w:rsid w:val="00DB6BBB"/>
    <w:rsid w:val="00E1637D"/>
    <w:rsid w:val="00E2726A"/>
    <w:rsid w:val="00E37975"/>
    <w:rsid w:val="00E461D7"/>
    <w:rsid w:val="00E55A52"/>
    <w:rsid w:val="00E74092"/>
    <w:rsid w:val="00E87C06"/>
    <w:rsid w:val="00E9400A"/>
    <w:rsid w:val="00EB21BF"/>
    <w:rsid w:val="00EB7FF7"/>
    <w:rsid w:val="00ED1772"/>
    <w:rsid w:val="00EE74B5"/>
    <w:rsid w:val="00EF49CA"/>
    <w:rsid w:val="00F174EA"/>
    <w:rsid w:val="00F22652"/>
    <w:rsid w:val="00F2378D"/>
    <w:rsid w:val="00F32CF0"/>
    <w:rsid w:val="00F5440B"/>
    <w:rsid w:val="00F63D1E"/>
    <w:rsid w:val="00F6485F"/>
    <w:rsid w:val="00F72A0E"/>
    <w:rsid w:val="00F9025E"/>
    <w:rsid w:val="00FB0353"/>
    <w:rsid w:val="00FB1E04"/>
    <w:rsid w:val="00FF37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F83"/>
    <w:rPr>
      <w:rFonts w:ascii="Adobe Garamond Pro" w:hAnsi="Adobe Garamond Pro"/>
      <w:sz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M Beavers</dc:creator>
  <cp:lastModifiedBy>Christine M Beavers</cp:lastModifiedBy>
  <cp:revision>2</cp:revision>
  <dcterms:created xsi:type="dcterms:W3CDTF">2015-10-30T20:35:00Z</dcterms:created>
  <dcterms:modified xsi:type="dcterms:W3CDTF">2015-10-30T22:08:00Z</dcterms:modified>
</cp:coreProperties>
</file>