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667" w:rsidRDefault="00817667" w:rsidP="00521A81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C13E10">
        <w:rPr>
          <w:rFonts w:eastAsia="Times New Roman"/>
          <w:b/>
          <w:sz w:val="28"/>
          <w:szCs w:val="28"/>
        </w:rPr>
        <w:t>COMPRES Beamline Scientist Annual Report</w:t>
      </w:r>
      <w:r w:rsidR="00C57AC6">
        <w:rPr>
          <w:rFonts w:eastAsia="Times New Roman"/>
          <w:b/>
          <w:sz w:val="28"/>
          <w:szCs w:val="28"/>
        </w:rPr>
        <w:t xml:space="preserve"> 2015 to 2016</w:t>
      </w:r>
    </w:p>
    <w:p w:rsidR="00641E63" w:rsidRPr="00C13E10" w:rsidRDefault="00641E63" w:rsidP="00521A81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817667" w:rsidRDefault="00F9487A" w:rsidP="00521A81">
      <w:pPr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817667" w:rsidRDefault="00817667" w:rsidP="00521A81">
      <w:pPr>
        <w:spacing w:line="360" w:lineRule="auto"/>
        <w:jc w:val="center"/>
        <w:rPr>
          <w:rFonts w:eastAsia="Times New Roman"/>
          <w:b/>
        </w:rPr>
      </w:pPr>
      <w:r w:rsidRPr="00E71948">
        <w:rPr>
          <w:rFonts w:eastAsia="Times New Roman"/>
          <w:b/>
        </w:rPr>
        <w:t>Haiyan Chen</w:t>
      </w:r>
    </w:p>
    <w:p w:rsidR="002744B2" w:rsidRDefault="002744B2" w:rsidP="00521A81">
      <w:pPr>
        <w:spacing w:line="360" w:lineRule="auto"/>
        <w:jc w:val="center"/>
        <w:rPr>
          <w:rFonts w:eastAsia="Times New Roman"/>
          <w:b/>
        </w:rPr>
      </w:pPr>
    </w:p>
    <w:p w:rsidR="00D31C1F" w:rsidRDefault="002744B2" w:rsidP="00521A81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APS 6BM-B Large Volume Press Beamline</w:t>
      </w:r>
    </w:p>
    <w:p w:rsidR="00D31C1F" w:rsidRPr="00E71948" w:rsidRDefault="00787698" w:rsidP="00521A81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Geoscience Department</w:t>
      </w:r>
      <w:r w:rsidR="002A2394">
        <w:rPr>
          <w:rFonts w:eastAsia="Times New Roman"/>
          <w:b/>
        </w:rPr>
        <w:t xml:space="preserve">, </w:t>
      </w:r>
      <w:r w:rsidR="00D31C1F">
        <w:rPr>
          <w:rFonts w:eastAsia="Times New Roman"/>
          <w:b/>
        </w:rPr>
        <w:t>Stony Brook University</w:t>
      </w:r>
    </w:p>
    <w:p w:rsidR="00641E63" w:rsidRDefault="00641E63" w:rsidP="00521A81">
      <w:pPr>
        <w:spacing w:line="360" w:lineRule="auto"/>
        <w:rPr>
          <w:rFonts w:eastAsia="Times New Roman"/>
        </w:rPr>
      </w:pPr>
    </w:p>
    <w:p w:rsidR="00D31C1F" w:rsidRDefault="00D31C1F" w:rsidP="00521A81">
      <w:pPr>
        <w:spacing w:line="360" w:lineRule="auto"/>
        <w:rPr>
          <w:rFonts w:eastAsia="Times New Roman"/>
        </w:rPr>
      </w:pPr>
    </w:p>
    <w:p w:rsidR="00641E63" w:rsidRDefault="003476D8" w:rsidP="00521A81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I am </w:t>
      </w:r>
      <w:r w:rsidR="00D31C1F">
        <w:rPr>
          <w:rFonts w:eastAsia="Times New Roman"/>
        </w:rPr>
        <w:t xml:space="preserve">a </w:t>
      </w:r>
      <w:r w:rsidR="00C874E0">
        <w:rPr>
          <w:rFonts w:eastAsia="Times New Roman"/>
        </w:rPr>
        <w:t>Beamline</w:t>
      </w:r>
      <w:r w:rsidR="00D31C1F">
        <w:rPr>
          <w:rFonts w:eastAsia="Times New Roman"/>
        </w:rPr>
        <w:t xml:space="preserve"> Scientist</w:t>
      </w:r>
      <w:r w:rsidR="002A2394">
        <w:rPr>
          <w:rFonts w:eastAsia="Times New Roman"/>
        </w:rPr>
        <w:t xml:space="preserve"> fully supported by COMPRES</w:t>
      </w:r>
      <w:r w:rsidR="00BF39F0">
        <w:rPr>
          <w:rFonts w:eastAsia="Times New Roman"/>
        </w:rPr>
        <w:t xml:space="preserve">. </w:t>
      </w:r>
      <w:r w:rsidR="00D31C1F">
        <w:rPr>
          <w:rFonts w:eastAsia="Times New Roman"/>
        </w:rPr>
        <w:t>I have been working at X17B2 (NSLS)</w:t>
      </w:r>
      <w:r w:rsidR="00C874E0">
        <w:rPr>
          <w:rFonts w:eastAsia="Times New Roman"/>
        </w:rPr>
        <w:t xml:space="preserve"> and then 6BM</w:t>
      </w:r>
      <w:r w:rsidR="00793F36">
        <w:rPr>
          <w:rFonts w:eastAsia="Times New Roman"/>
        </w:rPr>
        <w:t>-</w:t>
      </w:r>
      <w:r w:rsidR="00C874E0">
        <w:rPr>
          <w:rFonts w:eastAsia="Times New Roman"/>
        </w:rPr>
        <w:t>B (APS)</w:t>
      </w:r>
      <w:r w:rsidR="00824F8F">
        <w:rPr>
          <w:rFonts w:eastAsia="Times New Roman"/>
        </w:rPr>
        <w:t xml:space="preserve"> Beamline run by Stony B</w:t>
      </w:r>
      <w:r w:rsidR="00D31C1F">
        <w:rPr>
          <w:rFonts w:eastAsia="Times New Roman"/>
        </w:rPr>
        <w:t xml:space="preserve">rook University for </w:t>
      </w:r>
      <w:r>
        <w:rPr>
          <w:rFonts w:eastAsia="Times New Roman"/>
        </w:rPr>
        <w:t>5</w:t>
      </w:r>
      <w:r w:rsidR="00D31C1F">
        <w:rPr>
          <w:rFonts w:eastAsia="Times New Roman"/>
        </w:rPr>
        <w:t xml:space="preserve"> years. </w:t>
      </w:r>
      <w:r w:rsidR="00824F8F">
        <w:rPr>
          <w:rFonts w:eastAsia="Times New Roman"/>
        </w:rPr>
        <w:t xml:space="preserve">From October 2015 to September 2016, </w:t>
      </w:r>
      <w:r w:rsidR="00243AD8">
        <w:rPr>
          <w:rFonts w:eastAsia="Times New Roman"/>
        </w:rPr>
        <w:t>as the solo</w:t>
      </w:r>
      <w:r w:rsidR="00BF39F0">
        <w:rPr>
          <w:rFonts w:eastAsia="Times New Roman"/>
        </w:rPr>
        <w:t xml:space="preserve"> onsite staff for 6BM-B, </w:t>
      </w:r>
      <w:r w:rsidR="00824F8F">
        <w:rPr>
          <w:rFonts w:eastAsia="Times New Roman"/>
        </w:rPr>
        <w:t>m</w:t>
      </w:r>
      <w:r w:rsidR="00D31C1F">
        <w:rPr>
          <w:rFonts w:eastAsia="Times New Roman"/>
        </w:rPr>
        <w:t>y</w:t>
      </w:r>
      <w:r w:rsidR="00D230FC">
        <w:rPr>
          <w:rFonts w:eastAsia="Times New Roman"/>
        </w:rPr>
        <w:t xml:space="preserve"> </w:t>
      </w:r>
      <w:r w:rsidR="005605E7">
        <w:rPr>
          <w:rFonts w:eastAsia="Times New Roman"/>
        </w:rPr>
        <w:t xml:space="preserve">focuses are to </w:t>
      </w:r>
      <w:r w:rsidR="00824F8F">
        <w:rPr>
          <w:rFonts w:eastAsia="Times New Roman"/>
        </w:rPr>
        <w:t xml:space="preserve">operate </w:t>
      </w:r>
      <w:r w:rsidR="00C3754A">
        <w:rPr>
          <w:rFonts w:eastAsia="Times New Roman"/>
        </w:rPr>
        <w:t xml:space="preserve">the </w:t>
      </w:r>
      <w:r w:rsidR="00BF39F0">
        <w:rPr>
          <w:rFonts w:eastAsia="Times New Roman"/>
        </w:rPr>
        <w:t>b</w:t>
      </w:r>
      <w:r w:rsidR="00824F8F">
        <w:rPr>
          <w:rFonts w:eastAsia="Times New Roman"/>
        </w:rPr>
        <w:t>eamline safely and efficiently</w:t>
      </w:r>
      <w:r w:rsidR="00BD49A0">
        <w:rPr>
          <w:rFonts w:eastAsia="Times New Roman"/>
        </w:rPr>
        <w:t>, serve users</w:t>
      </w:r>
      <w:r w:rsidR="00F215E0">
        <w:rPr>
          <w:rFonts w:eastAsia="Times New Roman"/>
        </w:rPr>
        <w:t xml:space="preserve"> timely and satisfactorily,</w:t>
      </w:r>
      <w:r w:rsidR="00BD49A0">
        <w:rPr>
          <w:rFonts w:eastAsia="Times New Roman"/>
        </w:rPr>
        <w:t xml:space="preserve"> </w:t>
      </w:r>
      <w:r w:rsidR="00F215E0">
        <w:rPr>
          <w:rFonts w:eastAsia="Times New Roman"/>
        </w:rPr>
        <w:t xml:space="preserve">and </w:t>
      </w:r>
      <w:r w:rsidR="00D35B12">
        <w:rPr>
          <w:rFonts w:eastAsia="Times New Roman"/>
        </w:rPr>
        <w:t xml:space="preserve">bring the </w:t>
      </w:r>
      <w:r w:rsidR="006D43AB">
        <w:rPr>
          <w:rFonts w:eastAsia="Times New Roman"/>
        </w:rPr>
        <w:t xml:space="preserve">user laboratory </w:t>
      </w:r>
      <w:r w:rsidR="00D35B12">
        <w:rPr>
          <w:rFonts w:eastAsia="Times New Roman"/>
        </w:rPr>
        <w:t>from init</w:t>
      </w:r>
      <w:r w:rsidR="003833EA">
        <w:rPr>
          <w:rFonts w:eastAsia="Times New Roman"/>
        </w:rPr>
        <w:t xml:space="preserve">ial operation to full function. </w:t>
      </w:r>
      <w:r w:rsidR="006D43AB">
        <w:rPr>
          <w:rFonts w:eastAsia="Times New Roman"/>
        </w:rPr>
        <w:t xml:space="preserve">During this time period, </w:t>
      </w:r>
      <w:r w:rsidR="00C3754A">
        <w:rPr>
          <w:rFonts w:eastAsia="Times New Roman"/>
        </w:rPr>
        <w:t xml:space="preserve">even though 6BM-B had to be uninstalled to give access to the ring for </w:t>
      </w:r>
      <w:r w:rsidR="007B5A67">
        <w:rPr>
          <w:rFonts w:eastAsia="Times New Roman"/>
        </w:rPr>
        <w:t xml:space="preserve">APS superconductor </w:t>
      </w:r>
      <w:proofErr w:type="spellStart"/>
      <w:r w:rsidR="007B5A67">
        <w:rPr>
          <w:rFonts w:eastAsia="Times New Roman"/>
        </w:rPr>
        <w:t>u</w:t>
      </w:r>
      <w:r w:rsidR="00AF2820">
        <w:rPr>
          <w:rFonts w:eastAsia="Times New Roman"/>
        </w:rPr>
        <w:t>ndulator</w:t>
      </w:r>
      <w:proofErr w:type="spellEnd"/>
      <w:r w:rsidR="00C3754A">
        <w:rPr>
          <w:rFonts w:eastAsia="Times New Roman"/>
        </w:rPr>
        <w:t xml:space="preserve"> upgrade</w:t>
      </w:r>
      <w:r w:rsidR="004A325A">
        <w:rPr>
          <w:rFonts w:eastAsia="Times New Roman"/>
        </w:rPr>
        <w:t xml:space="preserve"> and then reinstalled at the beginning of 2016-2 cycle</w:t>
      </w:r>
      <w:r w:rsidR="00C3754A">
        <w:rPr>
          <w:rFonts w:eastAsia="Times New Roman"/>
        </w:rPr>
        <w:t>,</w:t>
      </w:r>
      <w:r w:rsidR="00AF2820">
        <w:rPr>
          <w:rFonts w:eastAsia="Times New Roman"/>
        </w:rPr>
        <w:t xml:space="preserve"> </w:t>
      </w:r>
      <w:r w:rsidR="00B75226">
        <w:rPr>
          <w:rFonts w:eastAsia="Times New Roman"/>
        </w:rPr>
        <w:t xml:space="preserve">resulting in18 shifts loss of </w:t>
      </w:r>
      <w:proofErr w:type="spellStart"/>
      <w:r w:rsidR="00B75226">
        <w:rPr>
          <w:rFonts w:eastAsia="Times New Roman"/>
        </w:rPr>
        <w:t>beamtime</w:t>
      </w:r>
      <w:proofErr w:type="spellEnd"/>
      <w:r w:rsidR="00B75226">
        <w:rPr>
          <w:rFonts w:eastAsia="Times New Roman"/>
        </w:rPr>
        <w:t xml:space="preserve">, </w:t>
      </w:r>
      <w:r w:rsidR="006D43AB">
        <w:rPr>
          <w:rFonts w:eastAsia="Times New Roman"/>
        </w:rPr>
        <w:t xml:space="preserve">6BM-B </w:t>
      </w:r>
      <w:r w:rsidR="00C3754A">
        <w:rPr>
          <w:rFonts w:eastAsia="Times New Roman"/>
        </w:rPr>
        <w:t xml:space="preserve">still </w:t>
      </w:r>
      <w:r w:rsidR="006D43AB">
        <w:rPr>
          <w:rFonts w:eastAsia="Times New Roman"/>
        </w:rPr>
        <w:t>deliv</w:t>
      </w:r>
      <w:r w:rsidR="00C3754A">
        <w:rPr>
          <w:rFonts w:eastAsia="Times New Roman"/>
        </w:rPr>
        <w:t xml:space="preserve">ered ~83% of </w:t>
      </w:r>
      <w:proofErr w:type="spellStart"/>
      <w:r w:rsidR="00C3754A">
        <w:rPr>
          <w:rFonts w:eastAsia="Times New Roman"/>
        </w:rPr>
        <w:t>beamtime</w:t>
      </w:r>
      <w:proofErr w:type="spellEnd"/>
      <w:r w:rsidR="00C3754A">
        <w:rPr>
          <w:rFonts w:eastAsia="Times New Roman"/>
        </w:rPr>
        <w:t xml:space="preserve"> to users. </w:t>
      </w:r>
      <w:r w:rsidR="00092AB0">
        <w:rPr>
          <w:rFonts w:eastAsia="Times New Roman"/>
        </w:rPr>
        <w:t xml:space="preserve">We also </w:t>
      </w:r>
      <w:r w:rsidR="006D43AB">
        <w:rPr>
          <w:rFonts w:eastAsia="Times New Roman"/>
        </w:rPr>
        <w:t xml:space="preserve">commissioned a new ADC slit, </w:t>
      </w:r>
      <w:r w:rsidR="00BD49A0">
        <w:rPr>
          <w:rFonts w:eastAsia="Times New Roman"/>
        </w:rPr>
        <w:t xml:space="preserve">an </w:t>
      </w:r>
      <w:r w:rsidR="006D43AB">
        <w:rPr>
          <w:rFonts w:eastAsia="Times New Roman"/>
        </w:rPr>
        <w:t>ultrasonic measurement</w:t>
      </w:r>
      <w:r w:rsidR="00BD49A0">
        <w:rPr>
          <w:rFonts w:eastAsia="Times New Roman"/>
        </w:rPr>
        <w:t xml:space="preserve"> system</w:t>
      </w:r>
      <w:r w:rsidR="006D43AB">
        <w:rPr>
          <w:rFonts w:eastAsia="Times New Roman"/>
        </w:rPr>
        <w:t xml:space="preserve">, and </w:t>
      </w:r>
      <w:r w:rsidR="00317801">
        <w:rPr>
          <w:rFonts w:eastAsia="Times New Roman"/>
        </w:rPr>
        <w:t xml:space="preserve">full </w:t>
      </w:r>
      <w:r w:rsidR="006D43AB">
        <w:rPr>
          <w:rFonts w:eastAsia="Times New Roman"/>
        </w:rPr>
        <w:t xml:space="preserve">boron epoxy cubic cell fabrication capabilities. </w:t>
      </w:r>
      <w:r w:rsidR="002A2394">
        <w:rPr>
          <w:rFonts w:eastAsia="Times New Roman"/>
        </w:rPr>
        <w:t>In the following sections, my activities are listed and the way I divide my time is indicated.</w:t>
      </w:r>
    </w:p>
    <w:p w:rsidR="00126FC5" w:rsidRDefault="00817667" w:rsidP="00EA7DDF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 </w:t>
      </w:r>
      <w:bookmarkStart w:id="0" w:name="_GoBack"/>
      <w:bookmarkEnd w:id="0"/>
    </w:p>
    <w:p w:rsidR="00126FC5" w:rsidRDefault="00317801" w:rsidP="00426F34">
      <w:pPr>
        <w:spacing w:line="360" w:lineRule="auto"/>
        <w:rPr>
          <w:rFonts w:eastAsia="Times New Roman"/>
        </w:rPr>
      </w:pPr>
      <w:r>
        <w:rPr>
          <w:rFonts w:eastAsia="Times New Roman"/>
          <w:b/>
        </w:rPr>
        <w:t>User service (5</w:t>
      </w:r>
      <w:r w:rsidR="00B3215B">
        <w:rPr>
          <w:rFonts w:eastAsia="Times New Roman"/>
          <w:b/>
        </w:rPr>
        <w:t>0%)</w:t>
      </w:r>
    </w:p>
    <w:p w:rsidR="00D53877" w:rsidRDefault="00D53877" w:rsidP="00521A81">
      <w:pPr>
        <w:spacing w:line="360" w:lineRule="auto"/>
        <w:ind w:left="720"/>
        <w:rPr>
          <w:rFonts w:eastAsia="Times New Roman"/>
        </w:rPr>
      </w:pPr>
    </w:p>
    <w:p w:rsidR="00426F34" w:rsidRDefault="004444DA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A</w:t>
      </w:r>
      <w:r w:rsidR="008450B2">
        <w:rPr>
          <w:rFonts w:eastAsia="Times New Roman"/>
        </w:rPr>
        <w:t>dminister</w:t>
      </w:r>
      <w:r w:rsidR="00A671F1">
        <w:rPr>
          <w:rFonts w:eastAsia="Times New Roman"/>
        </w:rPr>
        <w:t>ed</w:t>
      </w:r>
      <w:r>
        <w:rPr>
          <w:rFonts w:eastAsia="Times New Roman"/>
        </w:rPr>
        <w:t xml:space="preserve"> safety related APS required Sector Orientation to every user</w:t>
      </w:r>
    </w:p>
    <w:p w:rsidR="00717FAD" w:rsidRDefault="002F4618" w:rsidP="002F4618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He</w:t>
      </w:r>
      <w:r w:rsidR="008450B2">
        <w:rPr>
          <w:rFonts w:eastAsia="Times New Roman"/>
        </w:rPr>
        <w:t>lp</w:t>
      </w:r>
      <w:r w:rsidR="00A671F1">
        <w:rPr>
          <w:rFonts w:eastAsia="Times New Roman"/>
        </w:rPr>
        <w:t>ed</w:t>
      </w:r>
      <w:r w:rsidR="008450B2">
        <w:rPr>
          <w:rFonts w:eastAsia="Times New Roman"/>
        </w:rPr>
        <w:t xml:space="preserve"> users with proposals and ESAFs</w:t>
      </w:r>
      <w:r w:rsidR="00717FAD">
        <w:rPr>
          <w:rFonts w:eastAsia="Times New Roman"/>
        </w:rPr>
        <w:t xml:space="preserve"> in APS system</w:t>
      </w:r>
    </w:p>
    <w:p w:rsidR="006D2D9A" w:rsidRDefault="006D2D9A" w:rsidP="002F4618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Worked with APS user management to get T4-Foreign Visitor approval for a</w:t>
      </w:r>
      <w:r w:rsidR="008450B2">
        <w:rPr>
          <w:rFonts w:eastAsia="Times New Roman"/>
        </w:rPr>
        <w:t xml:space="preserve"> </w:t>
      </w:r>
      <w:r w:rsidR="00717FAD">
        <w:rPr>
          <w:rFonts w:eastAsia="Times New Roman"/>
        </w:rPr>
        <w:t>post-doc</w:t>
      </w:r>
      <w:r w:rsidR="008450B2">
        <w:rPr>
          <w:rFonts w:eastAsia="Times New Roman"/>
        </w:rPr>
        <w:t xml:space="preserve"> </w:t>
      </w:r>
      <w:r w:rsidR="00717FAD">
        <w:rPr>
          <w:rFonts w:eastAsia="Times New Roman"/>
        </w:rPr>
        <w:t xml:space="preserve">from Iran </w:t>
      </w:r>
    </w:p>
    <w:p w:rsidR="00E70ED1" w:rsidRDefault="008B0010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Shipped</w:t>
      </w:r>
      <w:r w:rsidR="00E70ED1">
        <w:rPr>
          <w:rFonts w:eastAsia="Times New Roman"/>
        </w:rPr>
        <w:t xml:space="preserve"> </w:t>
      </w:r>
      <w:r>
        <w:rPr>
          <w:rFonts w:eastAsia="Times New Roman"/>
        </w:rPr>
        <w:t>and received</w:t>
      </w:r>
      <w:r w:rsidR="00C330AD">
        <w:rPr>
          <w:rFonts w:eastAsia="Times New Roman"/>
        </w:rPr>
        <w:t xml:space="preserve"> </w:t>
      </w:r>
      <w:r w:rsidR="00E70ED1">
        <w:rPr>
          <w:rFonts w:eastAsia="Times New Roman"/>
        </w:rPr>
        <w:t xml:space="preserve">materials, cell parts, tools from APS to </w:t>
      </w:r>
      <w:r w:rsidR="00C330AD">
        <w:rPr>
          <w:rFonts w:eastAsia="Times New Roman"/>
        </w:rPr>
        <w:t xml:space="preserve">and from </w:t>
      </w:r>
      <w:r w:rsidR="00E70ED1">
        <w:rPr>
          <w:rFonts w:eastAsia="Times New Roman"/>
        </w:rPr>
        <w:t>users</w:t>
      </w:r>
    </w:p>
    <w:p w:rsidR="007841DC" w:rsidRDefault="007841DC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Handled all the paper work, coordination, and execution of Yale RDA (Rotational </w:t>
      </w:r>
      <w:proofErr w:type="spellStart"/>
      <w:r>
        <w:rPr>
          <w:rFonts w:eastAsia="Times New Roman"/>
        </w:rPr>
        <w:t>Drickamer</w:t>
      </w:r>
      <w:proofErr w:type="spellEnd"/>
      <w:r>
        <w:rPr>
          <w:rFonts w:eastAsia="Times New Roman"/>
        </w:rPr>
        <w:t xml:space="preserve"> Apparatus) </w:t>
      </w:r>
      <w:r w:rsidR="00FE6859">
        <w:rPr>
          <w:rFonts w:eastAsia="Times New Roman"/>
        </w:rPr>
        <w:t xml:space="preserve">equipment </w:t>
      </w:r>
      <w:r>
        <w:rPr>
          <w:rFonts w:eastAsia="Times New Roman"/>
        </w:rPr>
        <w:t>installat</w:t>
      </w:r>
      <w:r w:rsidR="00027BD8">
        <w:rPr>
          <w:rFonts w:eastAsia="Times New Roman"/>
        </w:rPr>
        <w:t>ion and shipment</w:t>
      </w:r>
      <w:r>
        <w:rPr>
          <w:rFonts w:eastAsia="Times New Roman"/>
        </w:rPr>
        <w:t xml:space="preserve"> from APS to Yale University</w:t>
      </w:r>
    </w:p>
    <w:p w:rsidR="006A764E" w:rsidRDefault="006A764E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Taught / assisted </w:t>
      </w:r>
      <w:r w:rsidR="00462DE8">
        <w:rPr>
          <w:rFonts w:eastAsia="Times New Roman"/>
        </w:rPr>
        <w:t>users with boron e</w:t>
      </w:r>
      <w:r>
        <w:rPr>
          <w:rFonts w:eastAsia="Times New Roman"/>
        </w:rPr>
        <w:t xml:space="preserve">poxy cell fabrication, cell assembly, press operation, </w:t>
      </w:r>
      <w:r w:rsidR="002F7211">
        <w:rPr>
          <w:rFonts w:eastAsia="Times New Roman"/>
        </w:rPr>
        <w:t xml:space="preserve">alignment, </w:t>
      </w:r>
      <w:r w:rsidR="003967D0">
        <w:rPr>
          <w:rFonts w:eastAsia="Times New Roman"/>
        </w:rPr>
        <w:t xml:space="preserve">calibration, </w:t>
      </w:r>
      <w:r>
        <w:rPr>
          <w:rFonts w:eastAsia="Times New Roman"/>
        </w:rPr>
        <w:t>data collection</w:t>
      </w:r>
      <w:r w:rsidR="003967D0">
        <w:rPr>
          <w:rFonts w:eastAsia="Times New Roman"/>
        </w:rPr>
        <w:t xml:space="preserve"> and analysis</w:t>
      </w:r>
    </w:p>
    <w:p w:rsidR="00F96158" w:rsidRDefault="00F96158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lastRenderedPageBreak/>
        <w:t xml:space="preserve">Troubleshot </w:t>
      </w:r>
      <w:r w:rsidR="00462DE8">
        <w:rPr>
          <w:rFonts w:eastAsia="Times New Roman"/>
        </w:rPr>
        <w:t>hardware and software problems</w:t>
      </w:r>
    </w:p>
    <w:p w:rsidR="00A35F2B" w:rsidRDefault="00582E6B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Tended to users’ various needs </w:t>
      </w:r>
      <w:r w:rsidR="00DF613C">
        <w:rPr>
          <w:rFonts w:eastAsia="Times New Roman"/>
        </w:rPr>
        <w:t>onsite and communicated users’ opinion of beamline to Stony Brook group</w:t>
      </w:r>
    </w:p>
    <w:p w:rsidR="002C2D91" w:rsidRPr="002C2D91" w:rsidRDefault="002C2D91" w:rsidP="002C2D91">
      <w:pPr>
        <w:spacing w:line="360" w:lineRule="auto"/>
        <w:ind w:left="720"/>
        <w:rPr>
          <w:rFonts w:eastAsia="Times New Roman"/>
          <w:b/>
        </w:rPr>
      </w:pPr>
    </w:p>
    <w:p w:rsidR="00E70ED1" w:rsidRDefault="00151056" w:rsidP="00E70ED1">
      <w:pPr>
        <w:spacing w:line="360" w:lineRule="auto"/>
        <w:rPr>
          <w:rFonts w:eastAsia="Times New Roman"/>
        </w:rPr>
      </w:pPr>
      <w:r>
        <w:rPr>
          <w:rFonts w:eastAsia="Times New Roman"/>
          <w:b/>
        </w:rPr>
        <w:t>Beamline management and operation</w:t>
      </w:r>
      <w:r w:rsidR="00D26D53">
        <w:rPr>
          <w:rFonts w:eastAsia="Times New Roman"/>
          <w:b/>
        </w:rPr>
        <w:t xml:space="preserve"> (</w:t>
      </w:r>
      <w:r w:rsidR="003D2336">
        <w:rPr>
          <w:rFonts w:eastAsia="Times New Roman"/>
          <w:b/>
        </w:rPr>
        <w:t>25</w:t>
      </w:r>
      <w:r w:rsidR="00E70ED1">
        <w:rPr>
          <w:rFonts w:eastAsia="Times New Roman"/>
          <w:b/>
        </w:rPr>
        <w:t>%)</w:t>
      </w:r>
    </w:p>
    <w:p w:rsidR="00E70ED1" w:rsidRDefault="00E70ED1" w:rsidP="00521A81">
      <w:pPr>
        <w:spacing w:line="360" w:lineRule="auto"/>
        <w:ind w:left="720"/>
        <w:rPr>
          <w:rFonts w:eastAsia="Times New Roman"/>
        </w:rPr>
      </w:pPr>
    </w:p>
    <w:p w:rsidR="00126FC5" w:rsidRDefault="00126FC5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Maintain </w:t>
      </w:r>
      <w:r w:rsidR="00D61A34">
        <w:rPr>
          <w:rFonts w:eastAsia="Times New Roman"/>
        </w:rPr>
        <w:t xml:space="preserve">press, </w:t>
      </w:r>
      <w:r w:rsidR="00C65F58">
        <w:rPr>
          <w:rFonts w:eastAsia="Times New Roman"/>
        </w:rPr>
        <w:t xml:space="preserve">tooling, </w:t>
      </w:r>
      <w:r>
        <w:rPr>
          <w:rFonts w:eastAsia="Times New Roman"/>
        </w:rPr>
        <w:t>optical</w:t>
      </w:r>
      <w:r w:rsidR="00C65F58">
        <w:rPr>
          <w:rFonts w:eastAsia="Times New Roman"/>
        </w:rPr>
        <w:t xml:space="preserve"> system</w:t>
      </w:r>
      <w:r w:rsidR="00D61A34">
        <w:rPr>
          <w:rFonts w:eastAsia="Times New Roman"/>
        </w:rPr>
        <w:t xml:space="preserve">, </w:t>
      </w:r>
      <w:r w:rsidR="00830AB3">
        <w:rPr>
          <w:rFonts w:eastAsia="Times New Roman"/>
        </w:rPr>
        <w:t xml:space="preserve">slit, </w:t>
      </w:r>
      <w:r w:rsidR="00D61A34">
        <w:rPr>
          <w:rFonts w:eastAsia="Times New Roman"/>
        </w:rPr>
        <w:t>and detectors at</w:t>
      </w:r>
      <w:r>
        <w:rPr>
          <w:rFonts w:eastAsia="Times New Roman"/>
        </w:rPr>
        <w:t xml:space="preserve"> optimum</w:t>
      </w:r>
      <w:r w:rsidR="00D61A34">
        <w:rPr>
          <w:rFonts w:eastAsia="Times New Roman"/>
        </w:rPr>
        <w:t xml:space="preserve"> conditions</w:t>
      </w:r>
    </w:p>
    <w:p w:rsidR="00DF4B8E" w:rsidRDefault="00DF4B8E" w:rsidP="00DF4B8E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Restore systems after a blow-out, or Yale’s RDA experiment </w:t>
      </w:r>
    </w:p>
    <w:p w:rsidR="00DF4B8E" w:rsidRDefault="00DF4B8E" w:rsidP="00DF4B8E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Order supplies, such as cell parts, anvils, tools, and chemicals</w:t>
      </w:r>
    </w:p>
    <w:p w:rsidR="001D3DCB" w:rsidRDefault="00FA4FF3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Fulfill APS safety requirement of the laboratory and beamline</w:t>
      </w:r>
    </w:p>
    <w:p w:rsidR="00E50974" w:rsidRDefault="00FA4FF3" w:rsidP="00E5097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R</w:t>
      </w:r>
      <w:r w:rsidR="00E50974">
        <w:rPr>
          <w:rFonts w:eastAsia="Times New Roman"/>
        </w:rPr>
        <w:t>eview user proposals</w:t>
      </w:r>
    </w:p>
    <w:p w:rsidR="00E50974" w:rsidRDefault="00E50974" w:rsidP="00E5097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Work with </w:t>
      </w:r>
      <w:r w:rsidR="008431F5">
        <w:rPr>
          <w:rFonts w:eastAsia="Times New Roman"/>
        </w:rPr>
        <w:t xml:space="preserve">APS and </w:t>
      </w:r>
      <w:r>
        <w:rPr>
          <w:rFonts w:eastAsia="Times New Roman"/>
        </w:rPr>
        <w:t xml:space="preserve">Stony Brook group on </w:t>
      </w:r>
      <w:proofErr w:type="spellStart"/>
      <w:r>
        <w:rPr>
          <w:rFonts w:eastAsia="Times New Roman"/>
        </w:rPr>
        <w:t>beamtime</w:t>
      </w:r>
      <w:proofErr w:type="spellEnd"/>
      <w:r>
        <w:rPr>
          <w:rFonts w:eastAsia="Times New Roman"/>
        </w:rPr>
        <w:t xml:space="preserve"> allocation</w:t>
      </w:r>
    </w:p>
    <w:p w:rsidR="00E50974" w:rsidRDefault="00E50974" w:rsidP="00E50974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Work with 6BM-A Station and users for </w:t>
      </w:r>
      <w:proofErr w:type="spellStart"/>
      <w:r>
        <w:rPr>
          <w:rFonts w:eastAsia="Times New Roman"/>
        </w:rPr>
        <w:t>beamtime</w:t>
      </w:r>
      <w:proofErr w:type="spellEnd"/>
      <w:r>
        <w:rPr>
          <w:rFonts w:eastAsia="Times New Roman"/>
        </w:rPr>
        <w:t xml:space="preserve"> scheduling</w:t>
      </w:r>
    </w:p>
    <w:p w:rsidR="00126FC5" w:rsidRDefault="00126FC5" w:rsidP="00521A81">
      <w:pPr>
        <w:spacing w:line="360" w:lineRule="auto"/>
        <w:ind w:left="720"/>
        <w:rPr>
          <w:rFonts w:eastAsia="Times New Roman"/>
        </w:rPr>
      </w:pPr>
    </w:p>
    <w:p w:rsidR="00126FC5" w:rsidRPr="003C6B27" w:rsidRDefault="00364D7F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Instrument d</w:t>
      </w:r>
      <w:r w:rsidR="008205DE" w:rsidRPr="003C6B27">
        <w:rPr>
          <w:rFonts w:eastAsia="Times New Roman"/>
          <w:b/>
        </w:rPr>
        <w:t>evelopment (25%)</w:t>
      </w:r>
    </w:p>
    <w:p w:rsidR="00EA7DDF" w:rsidRDefault="00EA7DDF" w:rsidP="00521A81">
      <w:pPr>
        <w:spacing w:line="360" w:lineRule="auto"/>
        <w:ind w:left="720"/>
        <w:rPr>
          <w:rFonts w:eastAsia="Times New Roman"/>
        </w:rPr>
      </w:pPr>
    </w:p>
    <w:p w:rsidR="00126FC5" w:rsidRDefault="00E337C2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Designed, machined, installed, tested, and commissioned a new ADC slits</w:t>
      </w:r>
    </w:p>
    <w:p w:rsidR="00753A4F" w:rsidRDefault="00753A4F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Purchased a </w:t>
      </w:r>
      <w:r w:rsidR="008431F5">
        <w:rPr>
          <w:rFonts w:eastAsia="Times New Roman"/>
        </w:rPr>
        <w:t>Servo Drill Press, designed and machined jigs for making BE cells</w:t>
      </w:r>
      <w:r w:rsidR="00B03E0A">
        <w:rPr>
          <w:rFonts w:eastAsia="Times New Roman"/>
        </w:rPr>
        <w:t>, fulfilled APS safety requirement</w:t>
      </w:r>
      <w:r w:rsidR="00B330D7">
        <w:rPr>
          <w:rFonts w:eastAsia="Times New Roman"/>
        </w:rPr>
        <w:t>s</w:t>
      </w:r>
      <w:r w:rsidR="00B03E0A">
        <w:rPr>
          <w:rFonts w:eastAsia="Times New Roman"/>
        </w:rPr>
        <w:t xml:space="preserve">, and acquired permission for </w:t>
      </w:r>
      <w:r w:rsidR="00593B5D">
        <w:rPr>
          <w:rFonts w:eastAsia="Times New Roman"/>
        </w:rPr>
        <w:t xml:space="preserve">user </w:t>
      </w:r>
      <w:r w:rsidR="00B03E0A">
        <w:rPr>
          <w:rFonts w:eastAsia="Times New Roman"/>
        </w:rPr>
        <w:t>operation</w:t>
      </w:r>
    </w:p>
    <w:p w:rsidR="00D230FC" w:rsidRDefault="00D230FC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Tested different standard </w:t>
      </w:r>
      <w:r w:rsidR="00257C6A">
        <w:rPr>
          <w:rFonts w:eastAsia="Times New Roman"/>
        </w:rPr>
        <w:t xml:space="preserve">D-DIA </w:t>
      </w:r>
      <w:r>
        <w:rPr>
          <w:rFonts w:eastAsia="Times New Roman"/>
        </w:rPr>
        <w:t>cell assembly ordered from Arizona State University</w:t>
      </w:r>
    </w:p>
    <w:p w:rsidR="00D230FC" w:rsidRDefault="00D230FC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Participated in ultrasonic </w:t>
      </w:r>
      <w:r w:rsidR="00257C6A">
        <w:rPr>
          <w:rFonts w:eastAsia="Times New Roman"/>
        </w:rPr>
        <w:t xml:space="preserve">measurement </w:t>
      </w:r>
      <w:r w:rsidR="00B5232A">
        <w:rPr>
          <w:rFonts w:eastAsia="Times New Roman"/>
        </w:rPr>
        <w:t>system testing and commissioning</w:t>
      </w:r>
    </w:p>
    <w:p w:rsidR="001C6267" w:rsidRDefault="00EA7DDF" w:rsidP="00521A81">
      <w:pPr>
        <w:spacing w:line="360" w:lineRule="auto"/>
        <w:ind w:left="720"/>
        <w:rPr>
          <w:rFonts w:eastAsia="Times New Roman"/>
        </w:rPr>
      </w:pPr>
      <w:r>
        <w:rPr>
          <w:rFonts w:eastAsia="Times New Roman"/>
        </w:rPr>
        <w:t>Got quotations and started purchas</w:t>
      </w:r>
      <w:r w:rsidR="00D215CD">
        <w:rPr>
          <w:rFonts w:eastAsia="Times New Roman"/>
        </w:rPr>
        <w:t>ing process for new camera syste</w:t>
      </w:r>
      <w:r>
        <w:rPr>
          <w:rFonts w:eastAsia="Times New Roman"/>
        </w:rPr>
        <w:t>m</w:t>
      </w:r>
    </w:p>
    <w:p w:rsidR="008205DE" w:rsidRDefault="008205DE" w:rsidP="004F747C">
      <w:pPr>
        <w:ind w:left="720"/>
        <w:rPr>
          <w:rFonts w:eastAsia="Times New Roman"/>
        </w:rPr>
      </w:pPr>
    </w:p>
    <w:p w:rsidR="008205DE" w:rsidRPr="003C6B27" w:rsidRDefault="008205DE" w:rsidP="00521A81">
      <w:pPr>
        <w:spacing w:line="360" w:lineRule="auto"/>
        <w:rPr>
          <w:rFonts w:eastAsia="Times New Roman"/>
          <w:b/>
        </w:rPr>
      </w:pPr>
      <w:r w:rsidRPr="003C6B27">
        <w:rPr>
          <w:rFonts w:eastAsia="Times New Roman"/>
          <w:b/>
        </w:rPr>
        <w:t>Improvement</w:t>
      </w:r>
      <w:r w:rsidR="006318A0" w:rsidRPr="003C6B27">
        <w:rPr>
          <w:rFonts w:eastAsia="Times New Roman"/>
          <w:b/>
        </w:rPr>
        <w:t>s made</w:t>
      </w:r>
    </w:p>
    <w:p w:rsidR="00E83273" w:rsidRDefault="00E83273" w:rsidP="00521A81">
      <w:pPr>
        <w:spacing w:line="360" w:lineRule="auto"/>
        <w:rPr>
          <w:rFonts w:eastAsia="Times New Roman"/>
        </w:rPr>
      </w:pPr>
    </w:p>
    <w:p w:rsidR="00180D6F" w:rsidRDefault="00180D6F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New ADC slit shortened the transition time between image mode and diffraction mode</w:t>
      </w:r>
    </w:p>
    <w:p w:rsidR="0096356C" w:rsidRDefault="0096356C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Fully equipped to make BE cells in 6BM-B laboratory</w:t>
      </w:r>
    </w:p>
    <w:p w:rsidR="009F2F73" w:rsidRDefault="00B25E71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Re-d</w:t>
      </w:r>
      <w:r w:rsidR="009F2F73">
        <w:rPr>
          <w:rFonts w:eastAsia="Times New Roman"/>
          <w:color w:val="000000" w:themeColor="text1"/>
        </w:rPr>
        <w:t>esigned, machined, installed a lead shielding system and significantly reduced background for diffraction and radiographic image data</w:t>
      </w:r>
    </w:p>
    <w:p w:rsidR="00B63CB2" w:rsidRDefault="007F5443" w:rsidP="00521A81">
      <w:pPr>
        <w:spacing w:line="360" w:lineRule="auto"/>
        <w:ind w:left="72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Stream</w:t>
      </w:r>
      <w:r w:rsidR="00250603">
        <w:rPr>
          <w:rFonts w:eastAsia="Times New Roman"/>
          <w:color w:val="000000" w:themeColor="text1"/>
        </w:rPr>
        <w:t>lined the process of switching between</w:t>
      </w:r>
      <w:r>
        <w:rPr>
          <w:rFonts w:eastAsia="Times New Roman"/>
          <w:color w:val="000000" w:themeColor="text1"/>
        </w:rPr>
        <w:t xml:space="preserve"> D-DIA (differential DIA) operation </w:t>
      </w:r>
      <w:r w:rsidR="00250603">
        <w:rPr>
          <w:rFonts w:eastAsia="Times New Roman"/>
          <w:color w:val="000000" w:themeColor="text1"/>
        </w:rPr>
        <w:t>and</w:t>
      </w:r>
      <w:r>
        <w:rPr>
          <w:rFonts w:eastAsia="Times New Roman"/>
          <w:color w:val="000000" w:themeColor="text1"/>
        </w:rPr>
        <w:t xml:space="preserve"> RDA (Rotational </w:t>
      </w:r>
      <w:proofErr w:type="spellStart"/>
      <w:r w:rsidR="005D2A49">
        <w:rPr>
          <w:rFonts w:eastAsia="Times New Roman"/>
          <w:color w:val="000000" w:themeColor="text1"/>
        </w:rPr>
        <w:t>Drickame</w:t>
      </w:r>
      <w:r w:rsidR="00250603">
        <w:rPr>
          <w:rFonts w:eastAsia="Times New Roman"/>
          <w:color w:val="000000" w:themeColor="text1"/>
        </w:rPr>
        <w:t>r</w:t>
      </w:r>
      <w:proofErr w:type="spellEnd"/>
      <w:r w:rsidR="00250603">
        <w:rPr>
          <w:rFonts w:eastAsia="Times New Roman"/>
          <w:color w:val="000000" w:themeColor="text1"/>
        </w:rPr>
        <w:t xml:space="preserve"> Apparatus) operation; </w:t>
      </w:r>
      <w:r>
        <w:rPr>
          <w:rFonts w:eastAsia="Times New Roman"/>
          <w:color w:val="000000" w:themeColor="text1"/>
        </w:rPr>
        <w:t>minimized the setup time</w:t>
      </w:r>
    </w:p>
    <w:p w:rsidR="009F2F73" w:rsidRPr="00E83273" w:rsidRDefault="009F2F73" w:rsidP="00521A81">
      <w:pPr>
        <w:spacing w:line="360" w:lineRule="auto"/>
        <w:ind w:left="720"/>
        <w:rPr>
          <w:rFonts w:eastAsia="Times New Roman"/>
          <w:color w:val="000000" w:themeColor="text1"/>
        </w:rPr>
      </w:pPr>
    </w:p>
    <w:p w:rsidR="008205DE" w:rsidRDefault="008205DE" w:rsidP="00521A81">
      <w:pPr>
        <w:spacing w:line="360" w:lineRule="auto"/>
        <w:ind w:left="1440"/>
        <w:rPr>
          <w:rFonts w:eastAsia="Times New Roman"/>
        </w:rPr>
      </w:pPr>
    </w:p>
    <w:p w:rsidR="006454DF" w:rsidRPr="003C6B27" w:rsidRDefault="0099361F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Beamline </w:t>
      </w:r>
      <w:r w:rsidR="008205DE" w:rsidRPr="003C6B27">
        <w:rPr>
          <w:rFonts w:eastAsia="Times New Roman"/>
          <w:b/>
        </w:rPr>
        <w:t>Proposals</w:t>
      </w:r>
      <w:r>
        <w:rPr>
          <w:rFonts w:eastAsia="Times New Roman"/>
          <w:b/>
        </w:rPr>
        <w:t xml:space="preserve"> to 6BMB</w:t>
      </w:r>
    </w:p>
    <w:p w:rsidR="00723D9B" w:rsidRDefault="00723D9B" w:rsidP="007E1A7D">
      <w:pPr>
        <w:autoSpaceDE w:val="0"/>
        <w:autoSpaceDN w:val="0"/>
        <w:adjustRightInd w:val="0"/>
      </w:pPr>
    </w:p>
    <w:p w:rsidR="006454DF" w:rsidRPr="00723D9B" w:rsidRDefault="007E1A7D" w:rsidP="007E1A7D">
      <w:pPr>
        <w:autoSpaceDE w:val="0"/>
        <w:autoSpaceDN w:val="0"/>
        <w:adjustRightInd w:val="0"/>
        <w:rPr>
          <w:rFonts w:eastAsia="Times New Roman"/>
        </w:rPr>
      </w:pPr>
      <w:r w:rsidRPr="00723D9B">
        <w:t xml:space="preserve">Effect of water on </w:t>
      </w:r>
      <w:proofErr w:type="spellStart"/>
      <w:r w:rsidRPr="00723D9B">
        <w:t>marco</w:t>
      </w:r>
      <w:proofErr w:type="spellEnd"/>
      <w:r w:rsidRPr="00723D9B">
        <w:t xml:space="preserve"> and micro stress in quartz compression: does</w:t>
      </w:r>
      <w:r w:rsidRPr="00723D9B">
        <w:t xml:space="preserve"> </w:t>
      </w:r>
      <w:r w:rsidRPr="00723D9B">
        <w:t>pre-existing water content in quartz plays important role?</w:t>
      </w:r>
    </w:p>
    <w:p w:rsidR="007E1A7D" w:rsidRPr="00723D9B" w:rsidRDefault="007E1A7D" w:rsidP="00F31612">
      <w:pPr>
        <w:autoSpaceDE w:val="0"/>
        <w:autoSpaceDN w:val="0"/>
        <w:adjustRightInd w:val="0"/>
      </w:pPr>
    </w:p>
    <w:p w:rsidR="008205DE" w:rsidRPr="00723D9B" w:rsidRDefault="00F31612" w:rsidP="00F31612">
      <w:pPr>
        <w:autoSpaceDE w:val="0"/>
        <w:autoSpaceDN w:val="0"/>
        <w:adjustRightInd w:val="0"/>
      </w:pPr>
      <w:r w:rsidRPr="00723D9B">
        <w:t>Deformation of 2-layer multiphase system and implications for deep earthquake generation</w:t>
      </w:r>
    </w:p>
    <w:p w:rsidR="00F31612" w:rsidRPr="00723D9B" w:rsidRDefault="00F31612" w:rsidP="00F31612">
      <w:pPr>
        <w:autoSpaceDE w:val="0"/>
        <w:autoSpaceDN w:val="0"/>
        <w:adjustRightInd w:val="0"/>
      </w:pPr>
    </w:p>
    <w:p w:rsidR="00F31612" w:rsidRDefault="00F31612" w:rsidP="00F31612">
      <w:pPr>
        <w:autoSpaceDE w:val="0"/>
        <w:autoSpaceDN w:val="0"/>
        <w:adjustRightInd w:val="0"/>
        <w:rPr>
          <w:rFonts w:eastAsia="Times New Roman"/>
        </w:rPr>
      </w:pPr>
    </w:p>
    <w:p w:rsidR="00126FC5" w:rsidRPr="003C6B27" w:rsidRDefault="005F7ECD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>Publications</w:t>
      </w: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365105" w:rsidRPr="00852D8C" w:rsidRDefault="00365105" w:rsidP="00365105">
      <w:pPr>
        <w:pStyle w:val="ListParagraph"/>
        <w:numPr>
          <w:ilvl w:val="0"/>
          <w:numId w:val="5"/>
        </w:numPr>
        <w:spacing w:after="120"/>
        <w:contextualSpacing w:val="0"/>
      </w:pPr>
      <w:r w:rsidRPr="00852D8C">
        <w:t xml:space="preserve">T. Wu, T. A. Tyson, </w:t>
      </w:r>
      <w:r w:rsidRPr="00852D8C">
        <w:rPr>
          <w:b/>
        </w:rPr>
        <w:t>H. Chen</w:t>
      </w:r>
      <w:r w:rsidRPr="00852D8C">
        <w:t xml:space="preserve">, P. Gao, T. Yu, Z. Chen, Z. Liu, K. H. </w:t>
      </w:r>
      <w:proofErr w:type="spellStart"/>
      <w:r w:rsidRPr="00852D8C">
        <w:t>Ahn</w:t>
      </w:r>
      <w:proofErr w:type="spellEnd"/>
      <w:r w:rsidRPr="00852D8C">
        <w:t>, X. Wang and S.-W. Cheong, “Pressure Dependent Structural Changes and Predicted Electrical Polarization in Perovskite RMnO</w:t>
      </w:r>
      <w:r w:rsidRPr="00852D8C">
        <w:rPr>
          <w:vertAlign w:val="subscript"/>
        </w:rPr>
        <w:t>3</w:t>
      </w:r>
      <w:r w:rsidRPr="00852D8C">
        <w:t xml:space="preserve">”, </w:t>
      </w:r>
      <w:r w:rsidRPr="00852D8C">
        <w:rPr>
          <w:b/>
          <w:i/>
        </w:rPr>
        <w:t>Journal of Physics Condensed Matter</w:t>
      </w:r>
      <w:r w:rsidRPr="00852D8C">
        <w:t xml:space="preserve">, </w:t>
      </w:r>
      <w:r w:rsidRPr="00852D8C">
        <w:rPr>
          <w:bCs/>
          <w:i/>
        </w:rPr>
        <w:t>28</w:t>
      </w:r>
      <w:r w:rsidRPr="00852D8C">
        <w:rPr>
          <w:i/>
        </w:rPr>
        <w:t xml:space="preserve"> (</w:t>
      </w:r>
      <w:r w:rsidRPr="00852D8C">
        <w:rPr>
          <w:b/>
          <w:i/>
        </w:rPr>
        <w:t>2016</w:t>
      </w:r>
      <w:r w:rsidRPr="00852D8C">
        <w:rPr>
          <w:i/>
        </w:rPr>
        <w:t>) 056005</w:t>
      </w:r>
    </w:p>
    <w:p w:rsidR="00365105" w:rsidRPr="00365105" w:rsidRDefault="00365105" w:rsidP="00365105">
      <w:pPr>
        <w:pStyle w:val="ListParagraph"/>
        <w:rPr>
          <w:rFonts w:eastAsia="Times New Roman"/>
        </w:rPr>
      </w:pPr>
    </w:p>
    <w:p w:rsidR="00A74A22" w:rsidRPr="004B1AF1" w:rsidRDefault="00A74A22" w:rsidP="00A74A22">
      <w:pPr>
        <w:pStyle w:val="ListParagraph"/>
        <w:numPr>
          <w:ilvl w:val="0"/>
          <w:numId w:val="5"/>
        </w:numPr>
        <w:rPr>
          <w:rFonts w:eastAsia="Times New Roman"/>
        </w:rPr>
      </w:pPr>
      <w:r>
        <w:t xml:space="preserve">Wang, SM; </w:t>
      </w:r>
      <w:proofErr w:type="spellStart"/>
      <w:r>
        <w:t>Zang</w:t>
      </w:r>
      <w:proofErr w:type="spellEnd"/>
      <w:r>
        <w:t xml:space="preserve">, CP; Wang, YK; Wang, LP; Zhang, </w:t>
      </w:r>
      <w:proofErr w:type="gramStart"/>
      <w:r>
        <w:t>JZ;  Childs</w:t>
      </w:r>
      <w:proofErr w:type="gramEnd"/>
      <w:r>
        <w:t>, C; Ge, H; Xu, HW; Chen, HY; He, DW; Zhao, YS;  “</w:t>
      </w:r>
      <w:r w:rsidRPr="004B1AF1">
        <w:rPr>
          <w:rFonts w:eastAsia="Times New Roman"/>
        </w:rPr>
        <w:t xml:space="preserve">Revisit of Pressure-Induced Phase Transition in </w:t>
      </w:r>
      <w:proofErr w:type="spellStart"/>
      <w:r w:rsidRPr="004B1AF1">
        <w:rPr>
          <w:rFonts w:eastAsia="Times New Roman"/>
        </w:rPr>
        <w:t>PbSe</w:t>
      </w:r>
      <w:proofErr w:type="spellEnd"/>
      <w:r w:rsidRPr="004B1AF1">
        <w:rPr>
          <w:rFonts w:eastAsia="Times New Roman"/>
        </w:rPr>
        <w:t xml:space="preserve">: Crystal Structure, and </w:t>
      </w:r>
      <w:proofErr w:type="spellStart"/>
      <w:r w:rsidRPr="004B1AF1">
        <w:rPr>
          <w:rFonts w:eastAsia="Times New Roman"/>
        </w:rPr>
        <w:t>Thermoelastic</w:t>
      </w:r>
      <w:proofErr w:type="spellEnd"/>
      <w:r w:rsidRPr="004B1AF1">
        <w:rPr>
          <w:rFonts w:eastAsia="Times New Roman"/>
        </w:rPr>
        <w:t xml:space="preserve"> and Electrical Properties</w:t>
      </w:r>
      <w:r>
        <w:rPr>
          <w:rFonts w:eastAsia="Times New Roman"/>
        </w:rPr>
        <w:t xml:space="preserve">” , </w:t>
      </w:r>
      <w:r w:rsidRPr="00A74A22">
        <w:rPr>
          <w:rFonts w:eastAsia="Times New Roman"/>
          <w:b/>
        </w:rPr>
        <w:t>Inorganic Chemistry</w:t>
      </w:r>
      <w:r>
        <w:rPr>
          <w:rFonts w:eastAsia="Times New Roman"/>
        </w:rPr>
        <w:t>, 54 (2015) 4981</w:t>
      </w:r>
      <w:r w:rsidRPr="004B1AF1">
        <w:rPr>
          <w:rFonts w:eastAsia="Times New Roman"/>
        </w:rPr>
        <w:t xml:space="preserve"> </w:t>
      </w:r>
    </w:p>
    <w:p w:rsidR="00A74A22" w:rsidRDefault="00A74A22" w:rsidP="00A74A22">
      <w:pPr>
        <w:pStyle w:val="ListParagraph"/>
      </w:pPr>
    </w:p>
    <w:p w:rsidR="00A74A22" w:rsidRDefault="00A74A22" w:rsidP="00A74A22">
      <w:pPr>
        <w:pStyle w:val="ListParagraph"/>
        <w:numPr>
          <w:ilvl w:val="0"/>
          <w:numId w:val="5"/>
        </w:numPr>
        <w:spacing w:after="200" w:line="276" w:lineRule="auto"/>
        <w:rPr>
          <w:rFonts w:eastAsia="Times New Roman"/>
        </w:rPr>
      </w:pPr>
      <w:r>
        <w:t xml:space="preserve">Bai, JM; Hong, J; Chen, HY; </w:t>
      </w:r>
      <w:proofErr w:type="spellStart"/>
      <w:r>
        <w:t>Graetz</w:t>
      </w:r>
      <w:proofErr w:type="spellEnd"/>
      <w:r>
        <w:t>, J; Wang, F; “</w:t>
      </w:r>
      <w:proofErr w:type="spellStart"/>
      <w:r w:rsidRPr="00F8242D">
        <w:rPr>
          <w:rFonts w:eastAsia="Times New Roman"/>
        </w:rPr>
        <w:fldChar w:fldCharType="begin"/>
      </w:r>
      <w:r w:rsidRPr="00F8242D">
        <w:rPr>
          <w:rFonts w:eastAsia="Times New Roman"/>
        </w:rPr>
        <w:instrText xml:space="preserve"> HYPERLINK "http://apps.webofknowledge.com/full_record.do?product=WOS&amp;search_mode=GeneralSearch&amp;qid=12&amp;SID=3DTJKOFKPxlCsRKulEt&amp;page=1&amp;doc=1&amp;cacheurlFromRightClick=no" </w:instrText>
      </w:r>
      <w:r w:rsidRPr="00F8242D">
        <w:rPr>
          <w:rFonts w:eastAsia="Times New Roman"/>
        </w:rPr>
        <w:fldChar w:fldCharType="separate"/>
      </w:r>
      <w:r w:rsidRPr="00F8242D">
        <w:rPr>
          <w:rFonts w:eastAsia="Times New Roman"/>
        </w:rPr>
        <w:t>Solvothermal</w:t>
      </w:r>
      <w:proofErr w:type="spellEnd"/>
      <w:r w:rsidRPr="00F8242D">
        <w:rPr>
          <w:rFonts w:eastAsia="Times New Roman"/>
        </w:rPr>
        <w:t xml:space="preserve"> Synthesis of LiMn1-xFexPO4 Cathode Materials: A Study of Reaction Mechanisms by Time-Resolved in Situ Synchrotron X-</w:t>
      </w:r>
      <w:proofErr w:type="gramStart"/>
      <w:r w:rsidRPr="00F8242D">
        <w:rPr>
          <w:rFonts w:eastAsia="Times New Roman"/>
        </w:rPr>
        <w:t>ray</w:t>
      </w:r>
      <w:r>
        <w:rPr>
          <w:rFonts w:eastAsia="Times New Roman"/>
        </w:rPr>
        <w:t xml:space="preserve"> </w:t>
      </w:r>
      <w:r w:rsidRPr="00F8242D">
        <w:rPr>
          <w:rFonts w:eastAsia="Times New Roman"/>
        </w:rPr>
        <w:t xml:space="preserve"> Diffraction</w:t>
      </w:r>
      <w:proofErr w:type="gramEnd"/>
      <w:r>
        <w:rPr>
          <w:rFonts w:eastAsia="Times New Roman"/>
        </w:rPr>
        <w:t xml:space="preserve">”, </w:t>
      </w:r>
      <w:r w:rsidRPr="00F8242D">
        <w:rPr>
          <w:rFonts w:eastAsia="Times New Roman"/>
        </w:rPr>
        <w:t xml:space="preserve"> </w:t>
      </w:r>
      <w:r w:rsidRPr="00F8242D">
        <w:rPr>
          <w:rFonts w:eastAsia="Times New Roman"/>
        </w:rPr>
        <w:fldChar w:fldCharType="end"/>
      </w:r>
      <w:r w:rsidRPr="00A74A22">
        <w:rPr>
          <w:rFonts w:eastAsia="Times New Roman"/>
          <w:b/>
        </w:rPr>
        <w:t>Journal of Physical Chemistry C</w:t>
      </w:r>
      <w:r>
        <w:rPr>
          <w:rFonts w:eastAsia="Times New Roman"/>
        </w:rPr>
        <w:t xml:space="preserve"> 119 (2015) 2266</w:t>
      </w:r>
    </w:p>
    <w:p w:rsidR="008F3CC3" w:rsidRPr="008F3CC3" w:rsidRDefault="008F3CC3" w:rsidP="008F3CC3">
      <w:pPr>
        <w:pStyle w:val="ListParagraph"/>
        <w:rPr>
          <w:rFonts w:eastAsia="Times New Roman"/>
        </w:rPr>
      </w:pPr>
    </w:p>
    <w:p w:rsidR="008F3CC3" w:rsidRPr="00CF4A5A" w:rsidRDefault="008F3CC3" w:rsidP="008F3CC3">
      <w:pPr>
        <w:numPr>
          <w:ilvl w:val="0"/>
          <w:numId w:val="5"/>
        </w:numPr>
        <w:autoSpaceDE w:val="0"/>
        <w:autoSpaceDN w:val="0"/>
        <w:adjustRightInd w:val="0"/>
        <w:spacing w:after="80"/>
        <w:rPr>
          <w:i/>
        </w:rPr>
      </w:pPr>
      <w:r>
        <w:t>Y. Li, YT. Zou, T. Chen, XB. Wang, XT. Qi</w:t>
      </w:r>
      <w:r w:rsidRPr="001D4E97">
        <w:t>,</w:t>
      </w:r>
      <w:r w:rsidRPr="00CF4A5A">
        <w:rPr>
          <w:b/>
        </w:rPr>
        <w:t xml:space="preserve"> H.</w:t>
      </w:r>
      <w:r>
        <w:t xml:space="preserve"> </w:t>
      </w:r>
      <w:r w:rsidRPr="00CF4A5A">
        <w:rPr>
          <w:b/>
        </w:rPr>
        <w:t xml:space="preserve">Chen, </w:t>
      </w:r>
      <w:r>
        <w:t>JG. Du, BS. Li, “P-V-T equation of state and high-pressure behavior of CaCO</w:t>
      </w:r>
      <w:r w:rsidRPr="00CF4A5A">
        <w:rPr>
          <w:vertAlign w:val="subscript"/>
        </w:rPr>
        <w:t>3</w:t>
      </w:r>
      <w:r>
        <w:t xml:space="preserve"> aragonite”, </w:t>
      </w:r>
      <w:r w:rsidRPr="00CF4A5A">
        <w:rPr>
          <w:b/>
          <w:i/>
        </w:rPr>
        <w:t>American Mineralogists</w:t>
      </w:r>
      <w:r>
        <w:t xml:space="preserve">, </w:t>
      </w:r>
      <w:r w:rsidRPr="00CF4A5A">
        <w:rPr>
          <w:i/>
        </w:rPr>
        <w:t>100 (</w:t>
      </w:r>
      <w:r w:rsidRPr="00CF4A5A">
        <w:rPr>
          <w:b/>
          <w:i/>
        </w:rPr>
        <w:t>2015</w:t>
      </w:r>
      <w:r w:rsidRPr="00CF4A5A">
        <w:rPr>
          <w:i/>
        </w:rPr>
        <w:t>) 2323</w:t>
      </w:r>
    </w:p>
    <w:p w:rsidR="008F3CC3" w:rsidRDefault="008F3CC3" w:rsidP="008F3CC3">
      <w:pPr>
        <w:pStyle w:val="ListParagraph"/>
        <w:spacing w:after="200" w:line="276" w:lineRule="auto"/>
        <w:rPr>
          <w:rFonts w:eastAsia="Times New Roman"/>
        </w:rPr>
      </w:pPr>
    </w:p>
    <w:p w:rsidR="00A74A22" w:rsidRPr="00F8242D" w:rsidRDefault="00A74A22" w:rsidP="00A74A22">
      <w:pPr>
        <w:pStyle w:val="ListParagraph"/>
        <w:rPr>
          <w:rFonts w:eastAsia="Times New Roman"/>
        </w:rPr>
      </w:pPr>
    </w:p>
    <w:p w:rsidR="00126FC5" w:rsidRDefault="00126FC5" w:rsidP="00521A81">
      <w:pPr>
        <w:spacing w:line="360" w:lineRule="auto"/>
        <w:rPr>
          <w:rFonts w:eastAsia="Times New Roman"/>
        </w:rPr>
      </w:pPr>
    </w:p>
    <w:p w:rsidR="00817667" w:rsidRDefault="004058C9" w:rsidP="00521A81">
      <w:pPr>
        <w:spacing w:line="36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6BMB </w:t>
      </w:r>
      <w:r w:rsidR="00817667" w:rsidRPr="006625E1">
        <w:rPr>
          <w:rFonts w:eastAsia="Times New Roman"/>
          <w:b/>
        </w:rPr>
        <w:t>Users assisted by PI’s name and institute</w:t>
      </w:r>
    </w:p>
    <w:p w:rsidR="00DC08A1" w:rsidRDefault="00DC08A1" w:rsidP="00521A81">
      <w:pPr>
        <w:spacing w:line="360" w:lineRule="auto"/>
        <w:rPr>
          <w:rFonts w:eastAsia="Times New Roman"/>
          <w:b/>
        </w:rPr>
      </w:pPr>
    </w:p>
    <w:tbl>
      <w:tblPr>
        <w:tblW w:w="7800" w:type="dxa"/>
        <w:tblInd w:w="118" w:type="dxa"/>
        <w:tblLook w:val="04A0" w:firstRow="1" w:lastRow="0" w:firstColumn="1" w:lastColumn="0" w:noHBand="0" w:noVBand="1"/>
      </w:tblPr>
      <w:tblGrid>
        <w:gridCol w:w="3680"/>
        <w:gridCol w:w="4120"/>
      </w:tblGrid>
      <w:tr w:rsidR="00A05CFE" w:rsidRPr="00A05CFE" w:rsidTr="00A05CFE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b/>
                <w:bCs/>
                <w:lang w:eastAsia="zh-CN"/>
              </w:rPr>
            </w:pPr>
            <w:r w:rsidRPr="00A05CFE">
              <w:rPr>
                <w:rFonts w:eastAsia="Times New Roman"/>
                <w:b/>
                <w:bCs/>
                <w:lang w:eastAsia="zh-CN"/>
              </w:rPr>
              <w:t>Name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b/>
                <w:bCs/>
                <w:lang w:eastAsia="zh-CN"/>
              </w:rPr>
            </w:pPr>
            <w:r w:rsidRPr="00A05CFE">
              <w:rPr>
                <w:rFonts w:eastAsia="Times New Roman"/>
                <w:b/>
                <w:bCs/>
                <w:lang w:eastAsia="zh-CN"/>
              </w:rPr>
              <w:t>Institution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 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Donald Weidner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Stony Brook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Li </w:t>
            </w:r>
            <w:proofErr w:type="spellStart"/>
            <w:r w:rsidRPr="00A05CFE">
              <w:rPr>
                <w:rFonts w:eastAsia="Times New Roman"/>
                <w:lang w:eastAsia="zh-CN"/>
              </w:rPr>
              <w:t>Li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Stony Brook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See Nga Cecilia Cheung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Wisconsin at Madison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Richard Triplett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Stony Brook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lastRenderedPageBreak/>
              <w:t>Haiyan Chen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Stony Brook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Matthew Whitaker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Stony Brook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Paul </w:t>
            </w:r>
            <w:proofErr w:type="spellStart"/>
            <w:r w:rsidRPr="00A05CFE">
              <w:rPr>
                <w:rFonts w:eastAsia="Times New Roman"/>
                <w:lang w:eastAsia="zh-CN"/>
              </w:rPr>
              <w:t>Raterron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Brown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Caleb Holyoke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Akron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Leif </w:t>
            </w:r>
            <w:proofErr w:type="spellStart"/>
            <w:r w:rsidRPr="00A05CFE">
              <w:rPr>
                <w:rFonts w:eastAsia="Times New Roman"/>
                <w:lang w:eastAsia="zh-CN"/>
              </w:rPr>
              <w:t>Tokle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Brown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Pamela </w:t>
            </w:r>
            <w:proofErr w:type="spellStart"/>
            <w:r w:rsidRPr="00A05CFE">
              <w:rPr>
                <w:rFonts w:eastAsia="Times New Roman"/>
                <w:lang w:eastAsia="zh-CN"/>
              </w:rPr>
              <w:t>Burnley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University of </w:t>
            </w:r>
            <w:proofErr w:type="spellStart"/>
            <w:r w:rsidRPr="00A05CFE">
              <w:rPr>
                <w:rFonts w:eastAsia="Times New Roman"/>
                <w:lang w:eastAsia="zh-CN"/>
              </w:rPr>
              <w:t>Neveda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at Las Vegas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Shirin </w:t>
            </w:r>
            <w:proofErr w:type="spellStart"/>
            <w:r w:rsidRPr="00A05CFE">
              <w:rPr>
                <w:rFonts w:eastAsia="Times New Roman"/>
                <w:lang w:eastAsia="zh-CN"/>
              </w:rPr>
              <w:t>Kaboli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University of </w:t>
            </w:r>
            <w:proofErr w:type="spellStart"/>
            <w:r w:rsidRPr="00A05CFE">
              <w:rPr>
                <w:rFonts w:eastAsia="Times New Roman"/>
                <w:lang w:eastAsia="zh-CN"/>
              </w:rPr>
              <w:t>Neveda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at Las Vegas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Richard Roland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University of </w:t>
            </w:r>
            <w:proofErr w:type="spellStart"/>
            <w:r w:rsidRPr="00A05CFE">
              <w:rPr>
                <w:rFonts w:eastAsia="Times New Roman"/>
                <w:lang w:eastAsia="zh-CN"/>
              </w:rPr>
              <w:t>Neveda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at Las Vegas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Nolan Regis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University of </w:t>
            </w:r>
            <w:proofErr w:type="spellStart"/>
            <w:r w:rsidRPr="00A05CFE">
              <w:rPr>
                <w:rFonts w:eastAsia="Times New Roman"/>
                <w:lang w:eastAsia="zh-CN"/>
              </w:rPr>
              <w:t>Neveda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at Las Vegas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David </w:t>
            </w:r>
            <w:proofErr w:type="spellStart"/>
            <w:r w:rsidRPr="00A05CFE">
              <w:rPr>
                <w:rFonts w:eastAsia="Times New Roman"/>
                <w:lang w:eastAsia="zh-CN"/>
              </w:rPr>
              <w:t>Kohlstedt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Alejandra Q. </w:t>
            </w:r>
            <w:proofErr w:type="spellStart"/>
            <w:r w:rsidRPr="00A05CFE">
              <w:rPr>
                <w:rFonts w:eastAsia="Times New Roman"/>
                <w:lang w:eastAsia="zh-CN"/>
              </w:rPr>
              <w:t>Terminel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Matej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Pec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Amanda </w:t>
            </w:r>
            <w:proofErr w:type="spellStart"/>
            <w:r w:rsidRPr="00A05CFE">
              <w:rPr>
                <w:rFonts w:eastAsia="Times New Roman"/>
                <w:lang w:eastAsia="zh-CN"/>
              </w:rPr>
              <w:t>Dillman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William Durham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Massachusetts Institute of Technology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Garret </w:t>
            </w:r>
            <w:proofErr w:type="spellStart"/>
            <w:r w:rsidRPr="00A05CFE">
              <w:rPr>
                <w:rFonts w:eastAsia="Times New Roman"/>
                <w:lang w:eastAsia="zh-CN"/>
              </w:rPr>
              <w:t>Diedrich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Shenghua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Mei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Guinan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Zhang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of Minnesota</w:t>
            </w:r>
          </w:p>
        </w:tc>
      </w:tr>
      <w:tr w:rsidR="00A05CFE" w:rsidRPr="00A05CFE" w:rsidTr="00A05CFE">
        <w:trPr>
          <w:trHeight w:val="34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Liping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Wang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University of </w:t>
            </w:r>
            <w:proofErr w:type="spellStart"/>
            <w:r w:rsidRPr="00A05CFE">
              <w:rPr>
                <w:rFonts w:eastAsia="Times New Roman"/>
                <w:lang w:eastAsia="zh-CN"/>
              </w:rPr>
              <w:t>Neveda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at Las Vegas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Shun-</w:t>
            </w:r>
            <w:proofErr w:type="spellStart"/>
            <w:r w:rsidRPr="00A05CFE">
              <w:rPr>
                <w:rFonts w:eastAsia="Times New Roman"/>
                <w:lang w:eastAsia="zh-CN"/>
              </w:rPr>
              <w:t>ichiro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</w:t>
            </w:r>
            <w:proofErr w:type="spellStart"/>
            <w:r w:rsidRPr="00A05CFE">
              <w:rPr>
                <w:rFonts w:eastAsia="Times New Roman"/>
                <w:lang w:eastAsia="zh-CN"/>
              </w:rPr>
              <w:t>Karato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Yale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Jennifer Girard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Yale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Peng Sun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Yale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Noriyoshi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</w:t>
            </w:r>
            <w:proofErr w:type="spellStart"/>
            <w:r w:rsidRPr="00A05CFE">
              <w:rPr>
                <w:rFonts w:eastAsia="Times New Roman"/>
                <w:lang w:eastAsia="zh-CN"/>
              </w:rPr>
              <w:t>Tsujino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Yale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Moe Sakurai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Tokyo Institute of Technology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Awar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</w:t>
            </w:r>
            <w:proofErr w:type="spellStart"/>
            <w:r w:rsidRPr="00A05CFE">
              <w:rPr>
                <w:rFonts w:eastAsia="Times New Roman"/>
                <w:lang w:eastAsia="zh-CN"/>
              </w:rPr>
              <w:t>Mohiuddin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Yale University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Simon Hunt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College of London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 xml:space="preserve">Martha </w:t>
            </w:r>
            <w:proofErr w:type="spellStart"/>
            <w:r w:rsidRPr="00A05CFE">
              <w:rPr>
                <w:rFonts w:eastAsia="Times New Roman"/>
                <w:lang w:eastAsia="zh-CN"/>
              </w:rPr>
              <w:t>Pamato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College of London</w:t>
            </w:r>
          </w:p>
        </w:tc>
      </w:tr>
      <w:tr w:rsidR="00A05CFE" w:rsidRPr="00A05CFE" w:rsidTr="00A05CFE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Andrew Thomson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College of London</w:t>
            </w:r>
          </w:p>
        </w:tc>
      </w:tr>
      <w:tr w:rsidR="00A05CFE" w:rsidRPr="00A05CFE" w:rsidTr="00A05CFE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proofErr w:type="spellStart"/>
            <w:r w:rsidRPr="00A05CFE">
              <w:rPr>
                <w:rFonts w:eastAsia="Times New Roman"/>
                <w:lang w:eastAsia="zh-CN"/>
              </w:rPr>
              <w:t>Isra</w:t>
            </w:r>
            <w:proofErr w:type="spellEnd"/>
            <w:r w:rsidRPr="00A05CFE">
              <w:rPr>
                <w:rFonts w:eastAsia="Times New Roman"/>
                <w:lang w:eastAsia="zh-CN"/>
              </w:rPr>
              <w:t xml:space="preserve"> </w:t>
            </w:r>
            <w:proofErr w:type="spellStart"/>
            <w:r w:rsidRPr="00A05CFE">
              <w:rPr>
                <w:rFonts w:eastAsia="Times New Roman"/>
                <w:lang w:eastAsia="zh-CN"/>
              </w:rPr>
              <w:t>Ezad</w:t>
            </w:r>
            <w:proofErr w:type="spellEnd"/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CFE" w:rsidRPr="00A05CFE" w:rsidRDefault="00A05CFE" w:rsidP="00A05CFE">
            <w:pPr>
              <w:rPr>
                <w:rFonts w:eastAsia="Times New Roman"/>
                <w:lang w:eastAsia="zh-CN"/>
              </w:rPr>
            </w:pPr>
            <w:r w:rsidRPr="00A05CFE">
              <w:rPr>
                <w:rFonts w:eastAsia="Times New Roman"/>
                <w:lang w:eastAsia="zh-CN"/>
              </w:rPr>
              <w:t>University College of London</w:t>
            </w:r>
          </w:p>
        </w:tc>
      </w:tr>
    </w:tbl>
    <w:p w:rsidR="00A05CFE" w:rsidRDefault="00A05CFE" w:rsidP="00521A81">
      <w:pPr>
        <w:spacing w:line="360" w:lineRule="auto"/>
        <w:rPr>
          <w:rFonts w:eastAsia="Times New Roman"/>
          <w:b/>
        </w:rPr>
      </w:pPr>
    </w:p>
    <w:sectPr w:rsidR="00A05CFE" w:rsidSect="0028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A362A"/>
    <w:multiLevelType w:val="hybridMultilevel"/>
    <w:tmpl w:val="8A263B16"/>
    <w:lvl w:ilvl="0" w:tplc="7CCAC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6943C5"/>
    <w:multiLevelType w:val="hybridMultilevel"/>
    <w:tmpl w:val="39B0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42E9B"/>
    <w:multiLevelType w:val="hybridMultilevel"/>
    <w:tmpl w:val="7E6A2216"/>
    <w:lvl w:ilvl="0" w:tplc="2CCC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052B7"/>
    <w:multiLevelType w:val="hybridMultilevel"/>
    <w:tmpl w:val="CA5CC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07B29"/>
    <w:multiLevelType w:val="hybridMultilevel"/>
    <w:tmpl w:val="36388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05DE0"/>
    <w:multiLevelType w:val="hybridMultilevel"/>
    <w:tmpl w:val="7D0CD7EA"/>
    <w:lvl w:ilvl="0" w:tplc="AC8E3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BF0EBC"/>
    <w:multiLevelType w:val="hybridMultilevel"/>
    <w:tmpl w:val="E7B49A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67"/>
    <w:rsid w:val="0001097B"/>
    <w:rsid w:val="00010C48"/>
    <w:rsid w:val="000178A7"/>
    <w:rsid w:val="00027BD8"/>
    <w:rsid w:val="00051C98"/>
    <w:rsid w:val="00066E24"/>
    <w:rsid w:val="00092AB0"/>
    <w:rsid w:val="000D3F3E"/>
    <w:rsid w:val="00114412"/>
    <w:rsid w:val="001256AB"/>
    <w:rsid w:val="00126FC5"/>
    <w:rsid w:val="00127F05"/>
    <w:rsid w:val="00134A42"/>
    <w:rsid w:val="00151056"/>
    <w:rsid w:val="00165E77"/>
    <w:rsid w:val="00166F3E"/>
    <w:rsid w:val="0017608C"/>
    <w:rsid w:val="00180D6F"/>
    <w:rsid w:val="001B0270"/>
    <w:rsid w:val="001B2CD5"/>
    <w:rsid w:val="001B2EAC"/>
    <w:rsid w:val="001B2F12"/>
    <w:rsid w:val="001B4A02"/>
    <w:rsid w:val="001B5CBD"/>
    <w:rsid w:val="001C6267"/>
    <w:rsid w:val="001D1D96"/>
    <w:rsid w:val="001D2747"/>
    <w:rsid w:val="001D3DCB"/>
    <w:rsid w:val="001D5C09"/>
    <w:rsid w:val="001D7A11"/>
    <w:rsid w:val="001F0F88"/>
    <w:rsid w:val="002035A3"/>
    <w:rsid w:val="00204CE4"/>
    <w:rsid w:val="002309B2"/>
    <w:rsid w:val="00243AD8"/>
    <w:rsid w:val="002455B7"/>
    <w:rsid w:val="00250603"/>
    <w:rsid w:val="00257C6A"/>
    <w:rsid w:val="002744B2"/>
    <w:rsid w:val="00280087"/>
    <w:rsid w:val="002809AA"/>
    <w:rsid w:val="002A2394"/>
    <w:rsid w:val="002C2D91"/>
    <w:rsid w:val="002D07B3"/>
    <w:rsid w:val="002D16C8"/>
    <w:rsid w:val="002F4618"/>
    <w:rsid w:val="002F7211"/>
    <w:rsid w:val="00304A86"/>
    <w:rsid w:val="00317801"/>
    <w:rsid w:val="00321396"/>
    <w:rsid w:val="003476D8"/>
    <w:rsid w:val="00355DF0"/>
    <w:rsid w:val="00364D7F"/>
    <w:rsid w:val="00365105"/>
    <w:rsid w:val="003833EA"/>
    <w:rsid w:val="00384C8C"/>
    <w:rsid w:val="003967D0"/>
    <w:rsid w:val="003B0C5A"/>
    <w:rsid w:val="003C6B27"/>
    <w:rsid w:val="003D2336"/>
    <w:rsid w:val="003D5688"/>
    <w:rsid w:val="003E43E0"/>
    <w:rsid w:val="003F09AA"/>
    <w:rsid w:val="004058C9"/>
    <w:rsid w:val="00426F34"/>
    <w:rsid w:val="004444DA"/>
    <w:rsid w:val="004507F8"/>
    <w:rsid w:val="00452C9B"/>
    <w:rsid w:val="00462DE8"/>
    <w:rsid w:val="004726B9"/>
    <w:rsid w:val="00486B19"/>
    <w:rsid w:val="0048753E"/>
    <w:rsid w:val="004935DF"/>
    <w:rsid w:val="00496DA7"/>
    <w:rsid w:val="004A325A"/>
    <w:rsid w:val="004B79C2"/>
    <w:rsid w:val="004C138C"/>
    <w:rsid w:val="004F3B30"/>
    <w:rsid w:val="004F747C"/>
    <w:rsid w:val="00520ED3"/>
    <w:rsid w:val="00521A81"/>
    <w:rsid w:val="00522184"/>
    <w:rsid w:val="00533A5C"/>
    <w:rsid w:val="005605E7"/>
    <w:rsid w:val="00565C55"/>
    <w:rsid w:val="00570996"/>
    <w:rsid w:val="00582E6B"/>
    <w:rsid w:val="00593B5D"/>
    <w:rsid w:val="005B6091"/>
    <w:rsid w:val="005C2362"/>
    <w:rsid w:val="005D0647"/>
    <w:rsid w:val="005D184A"/>
    <w:rsid w:val="005D2A49"/>
    <w:rsid w:val="005D640B"/>
    <w:rsid w:val="005E1F60"/>
    <w:rsid w:val="005F20E0"/>
    <w:rsid w:val="005F65D9"/>
    <w:rsid w:val="005F7ECD"/>
    <w:rsid w:val="00616E6A"/>
    <w:rsid w:val="006318A0"/>
    <w:rsid w:val="00636FFD"/>
    <w:rsid w:val="00641E63"/>
    <w:rsid w:val="00644D80"/>
    <w:rsid w:val="006454DF"/>
    <w:rsid w:val="00654765"/>
    <w:rsid w:val="006625E1"/>
    <w:rsid w:val="006979E1"/>
    <w:rsid w:val="006A764E"/>
    <w:rsid w:val="006B6AB0"/>
    <w:rsid w:val="006D0BF7"/>
    <w:rsid w:val="006D2D9A"/>
    <w:rsid w:val="006D43AB"/>
    <w:rsid w:val="006E0E11"/>
    <w:rsid w:val="00714E88"/>
    <w:rsid w:val="00717F52"/>
    <w:rsid w:val="00717FAD"/>
    <w:rsid w:val="00723D9B"/>
    <w:rsid w:val="00746E77"/>
    <w:rsid w:val="007506B6"/>
    <w:rsid w:val="00753A4F"/>
    <w:rsid w:val="007841DC"/>
    <w:rsid w:val="00787698"/>
    <w:rsid w:val="00793F36"/>
    <w:rsid w:val="00795FB5"/>
    <w:rsid w:val="00797F8A"/>
    <w:rsid w:val="007B5A67"/>
    <w:rsid w:val="007E1A7D"/>
    <w:rsid w:val="007F2199"/>
    <w:rsid w:val="007F4BAC"/>
    <w:rsid w:val="007F5443"/>
    <w:rsid w:val="007F5FC9"/>
    <w:rsid w:val="0080334D"/>
    <w:rsid w:val="00817667"/>
    <w:rsid w:val="008205DE"/>
    <w:rsid w:val="00824F8F"/>
    <w:rsid w:val="00830AB3"/>
    <w:rsid w:val="00831EB6"/>
    <w:rsid w:val="008407CD"/>
    <w:rsid w:val="00842467"/>
    <w:rsid w:val="008431F5"/>
    <w:rsid w:val="008450B2"/>
    <w:rsid w:val="00846415"/>
    <w:rsid w:val="00847EA6"/>
    <w:rsid w:val="00853D42"/>
    <w:rsid w:val="00890E75"/>
    <w:rsid w:val="00892CC8"/>
    <w:rsid w:val="008A2A69"/>
    <w:rsid w:val="008B0010"/>
    <w:rsid w:val="008B1C81"/>
    <w:rsid w:val="008B218E"/>
    <w:rsid w:val="008C6C2F"/>
    <w:rsid w:val="008C72F9"/>
    <w:rsid w:val="008E6C49"/>
    <w:rsid w:val="008F3CC3"/>
    <w:rsid w:val="0090223F"/>
    <w:rsid w:val="00953324"/>
    <w:rsid w:val="009546A4"/>
    <w:rsid w:val="0096356C"/>
    <w:rsid w:val="00963AE6"/>
    <w:rsid w:val="0099361F"/>
    <w:rsid w:val="009A5AFC"/>
    <w:rsid w:val="009B3463"/>
    <w:rsid w:val="009F2F73"/>
    <w:rsid w:val="00A05CFE"/>
    <w:rsid w:val="00A21CDA"/>
    <w:rsid w:val="00A35F2B"/>
    <w:rsid w:val="00A366AC"/>
    <w:rsid w:val="00A54F93"/>
    <w:rsid w:val="00A671F1"/>
    <w:rsid w:val="00A74A22"/>
    <w:rsid w:val="00A74C98"/>
    <w:rsid w:val="00A870CD"/>
    <w:rsid w:val="00AC6C24"/>
    <w:rsid w:val="00AD16E2"/>
    <w:rsid w:val="00AF04A8"/>
    <w:rsid w:val="00AF2820"/>
    <w:rsid w:val="00AF74A7"/>
    <w:rsid w:val="00B036C9"/>
    <w:rsid w:val="00B03E0A"/>
    <w:rsid w:val="00B04589"/>
    <w:rsid w:val="00B15CA9"/>
    <w:rsid w:val="00B25E71"/>
    <w:rsid w:val="00B3215B"/>
    <w:rsid w:val="00B330D7"/>
    <w:rsid w:val="00B5232A"/>
    <w:rsid w:val="00B55066"/>
    <w:rsid w:val="00B63CB2"/>
    <w:rsid w:val="00B6604E"/>
    <w:rsid w:val="00B75226"/>
    <w:rsid w:val="00BB1B85"/>
    <w:rsid w:val="00BC005D"/>
    <w:rsid w:val="00BC6C7A"/>
    <w:rsid w:val="00BD49A0"/>
    <w:rsid w:val="00BD50F3"/>
    <w:rsid w:val="00BE60CB"/>
    <w:rsid w:val="00BF39F0"/>
    <w:rsid w:val="00C13E10"/>
    <w:rsid w:val="00C330AD"/>
    <w:rsid w:val="00C3754A"/>
    <w:rsid w:val="00C57AC6"/>
    <w:rsid w:val="00C57F1C"/>
    <w:rsid w:val="00C65F58"/>
    <w:rsid w:val="00C85D09"/>
    <w:rsid w:val="00C874E0"/>
    <w:rsid w:val="00C95C7D"/>
    <w:rsid w:val="00CA33C0"/>
    <w:rsid w:val="00CD7663"/>
    <w:rsid w:val="00CE1763"/>
    <w:rsid w:val="00D05C0E"/>
    <w:rsid w:val="00D12E90"/>
    <w:rsid w:val="00D15915"/>
    <w:rsid w:val="00D215CD"/>
    <w:rsid w:val="00D230FC"/>
    <w:rsid w:val="00D26D53"/>
    <w:rsid w:val="00D31C1F"/>
    <w:rsid w:val="00D35B12"/>
    <w:rsid w:val="00D441F5"/>
    <w:rsid w:val="00D47090"/>
    <w:rsid w:val="00D53877"/>
    <w:rsid w:val="00D61A34"/>
    <w:rsid w:val="00D63D52"/>
    <w:rsid w:val="00D64F0E"/>
    <w:rsid w:val="00D65AD3"/>
    <w:rsid w:val="00D748A6"/>
    <w:rsid w:val="00DA05CB"/>
    <w:rsid w:val="00DB354F"/>
    <w:rsid w:val="00DC08A1"/>
    <w:rsid w:val="00DD1129"/>
    <w:rsid w:val="00DD3490"/>
    <w:rsid w:val="00DE19C3"/>
    <w:rsid w:val="00DE2836"/>
    <w:rsid w:val="00DE50FA"/>
    <w:rsid w:val="00DF4B8E"/>
    <w:rsid w:val="00DF586E"/>
    <w:rsid w:val="00DF613C"/>
    <w:rsid w:val="00E0562F"/>
    <w:rsid w:val="00E13565"/>
    <w:rsid w:val="00E337C2"/>
    <w:rsid w:val="00E50974"/>
    <w:rsid w:val="00E566CB"/>
    <w:rsid w:val="00E70ED1"/>
    <w:rsid w:val="00E71948"/>
    <w:rsid w:val="00E77C32"/>
    <w:rsid w:val="00E83273"/>
    <w:rsid w:val="00E84801"/>
    <w:rsid w:val="00E903A2"/>
    <w:rsid w:val="00E95B43"/>
    <w:rsid w:val="00E97313"/>
    <w:rsid w:val="00E97787"/>
    <w:rsid w:val="00EA0D02"/>
    <w:rsid w:val="00EA7DDF"/>
    <w:rsid w:val="00ED4395"/>
    <w:rsid w:val="00F06D56"/>
    <w:rsid w:val="00F215E0"/>
    <w:rsid w:val="00F276BD"/>
    <w:rsid w:val="00F31612"/>
    <w:rsid w:val="00F51DE6"/>
    <w:rsid w:val="00F7154E"/>
    <w:rsid w:val="00F730B8"/>
    <w:rsid w:val="00F85495"/>
    <w:rsid w:val="00F9076A"/>
    <w:rsid w:val="00F9487A"/>
    <w:rsid w:val="00F96158"/>
    <w:rsid w:val="00FA4FF3"/>
    <w:rsid w:val="00FB5615"/>
    <w:rsid w:val="00FC29EB"/>
    <w:rsid w:val="00FC3034"/>
    <w:rsid w:val="00FD231B"/>
    <w:rsid w:val="00FE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FA561"/>
  <w15:docId w15:val="{EC437BE0-BDD3-4D05-BED6-88B3ED93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76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05D"/>
    <w:pPr>
      <w:ind w:left="720"/>
      <w:contextualSpacing/>
    </w:pPr>
  </w:style>
  <w:style w:type="character" w:customStyle="1" w:styleId="frlabel">
    <w:name w:val="fr_label"/>
    <w:basedOn w:val="DefaultParagraphFont"/>
    <w:rsid w:val="00D05C0E"/>
  </w:style>
  <w:style w:type="character" w:styleId="Hyperlink">
    <w:name w:val="Hyperlink"/>
    <w:basedOn w:val="DefaultParagraphFont"/>
    <w:uiPriority w:val="99"/>
    <w:semiHidden/>
    <w:unhideWhenUsed/>
    <w:rsid w:val="00D05C0E"/>
    <w:rPr>
      <w:color w:val="0000FF"/>
      <w:u w:val="single"/>
    </w:rPr>
  </w:style>
  <w:style w:type="character" w:customStyle="1" w:styleId="hithilite">
    <w:name w:val="hithilite"/>
    <w:basedOn w:val="DefaultParagraphFont"/>
    <w:rsid w:val="00D05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Institute of Technology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haiyan</dc:creator>
  <cp:lastModifiedBy>Haiyan Chen</cp:lastModifiedBy>
  <cp:revision>109</cp:revision>
  <dcterms:created xsi:type="dcterms:W3CDTF">2016-11-25T17:34:00Z</dcterms:created>
  <dcterms:modified xsi:type="dcterms:W3CDTF">2016-12-02T17:11:00Z</dcterms:modified>
</cp:coreProperties>
</file>