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1EEA" w:rsidRDefault="007C1EEA" w:rsidP="007C1EEA">
      <w:r w:rsidRPr="00E2726A">
        <w:t xml:space="preserve">Christine Beavers, Research Scientist, Beamline 12.2.2 at the Advanced Light Source. </w:t>
      </w:r>
    </w:p>
    <w:p w:rsidR="007C1EEA" w:rsidRPr="00E2726A" w:rsidRDefault="007C1EEA" w:rsidP="007C1EEA">
      <w:r>
        <w:t>Supervised by Quentin Williams, UC Santa Cruz</w:t>
      </w:r>
    </w:p>
    <w:p w:rsidR="007C1EEA" w:rsidRDefault="007C1EEA" w:rsidP="007C1EEA">
      <w:r w:rsidRPr="00E2726A">
        <w:t>June 1</w:t>
      </w:r>
      <w:r w:rsidRPr="00E2726A">
        <w:rPr>
          <w:vertAlign w:val="superscript"/>
        </w:rPr>
        <w:t>st</w:t>
      </w:r>
      <w:r w:rsidRPr="00E2726A">
        <w:t>, 2013</w:t>
      </w:r>
      <w:r>
        <w:t>-Current (4 years, 5 months)</w:t>
      </w:r>
    </w:p>
    <w:p w:rsidR="007C1EEA" w:rsidRDefault="007C1EEA" w:rsidP="007C1EEA"/>
    <w:p w:rsidR="00F30829" w:rsidRDefault="007C1EEA" w:rsidP="00F30829">
      <w:r w:rsidRPr="0079185A">
        <w:t>Responsibilities include developing</w:t>
      </w:r>
      <w:r>
        <w:t>/running</w:t>
      </w:r>
      <w:r w:rsidRPr="0079185A">
        <w:t xml:space="preserve"> the single-crystal diffraction experiment and facilities (</w:t>
      </w:r>
      <w:r>
        <w:t>7</w:t>
      </w:r>
      <w:r w:rsidRPr="0079185A">
        <w:t>0%)</w:t>
      </w:r>
      <w:r>
        <w:t xml:space="preserve"> </w:t>
      </w:r>
      <w:r w:rsidRPr="0079185A">
        <w:t>and providing on-site support to COMPRES users (</w:t>
      </w:r>
      <w:r>
        <w:t>3</w:t>
      </w:r>
      <w:r w:rsidRPr="0079185A">
        <w:t xml:space="preserve">0%).  </w:t>
      </w:r>
      <w:r>
        <w:t>I have supported the following user</w:t>
      </w:r>
      <w:r w:rsidR="00160722">
        <w:t xml:space="preserve"> groups</w:t>
      </w:r>
      <w:r>
        <w:t xml:space="preserve"> in the last 12 months: Shim(ASU), Jackson(CIT), </w:t>
      </w:r>
      <w:r w:rsidR="00160722">
        <w:t xml:space="preserve">Mattox (LBNL), </w:t>
      </w:r>
      <w:proofErr w:type="spellStart"/>
      <w:r w:rsidR="00160722">
        <w:t>Karunadasa</w:t>
      </w:r>
      <w:proofErr w:type="spellEnd"/>
      <w:r w:rsidR="00160722">
        <w:t xml:space="preserve"> (Stanford), </w:t>
      </w:r>
      <w:proofErr w:type="spellStart"/>
      <w:r w:rsidR="00160722">
        <w:t>Soghomonian</w:t>
      </w:r>
      <w:proofErr w:type="spellEnd"/>
      <w:r w:rsidR="00160722">
        <w:t xml:space="preserve"> (VPI), Long(UCB), </w:t>
      </w:r>
      <w:proofErr w:type="spellStart"/>
      <w:r w:rsidR="00160722">
        <w:t>Ciezak</w:t>
      </w:r>
      <w:proofErr w:type="spellEnd"/>
      <w:r w:rsidR="00160722">
        <w:t xml:space="preserve">-Jenkins(ARL), </w:t>
      </w:r>
      <w:proofErr w:type="spellStart"/>
      <w:r w:rsidR="00160722">
        <w:t>Alivisatos</w:t>
      </w:r>
      <w:proofErr w:type="spellEnd"/>
      <w:r w:rsidR="00160722">
        <w:t xml:space="preserve"> (UCB), </w:t>
      </w:r>
      <w:proofErr w:type="spellStart"/>
      <w:r w:rsidR="00160722">
        <w:t>Burtch</w:t>
      </w:r>
      <w:proofErr w:type="spellEnd"/>
      <w:r w:rsidR="00160722">
        <w:t xml:space="preserve"> (Sandia) and Williams (UCSC). </w:t>
      </w:r>
      <w:r w:rsidR="00F30829">
        <w:t>Although some of these groups are not COMPRES, they require my expertise</w:t>
      </w:r>
      <w:r w:rsidR="009A59BC">
        <w:t>, either because of my chemistry background, or my assistance in</w:t>
      </w:r>
      <w:r w:rsidR="00F30829">
        <w:t xml:space="preserve"> collecting single crystal data on 12.2.2. I have also supported the Williams and Miyagi group, and others, when collecting data on beamline 11.3.1, which is the small molecule crystallography beamline. </w:t>
      </w:r>
    </w:p>
    <w:p w:rsidR="00160722" w:rsidRDefault="00160722" w:rsidP="007C1EEA">
      <w:r>
        <w:t>Major</w:t>
      </w:r>
      <w:r w:rsidR="00ED52C8">
        <w:t xml:space="preserve"> beamline</w:t>
      </w:r>
      <w:r>
        <w:t xml:space="preserve"> activities this year have been </w:t>
      </w:r>
      <w:r w:rsidR="00ED52C8">
        <w:t xml:space="preserve">the </w:t>
      </w:r>
      <w:r>
        <w:t>development of automated</w:t>
      </w:r>
      <w:r w:rsidR="003E22D4">
        <w:t xml:space="preserve"> DAC and diffractometer</w:t>
      </w:r>
      <w:r>
        <w:t xml:space="preserve"> alignment scan</w:t>
      </w:r>
      <w:r w:rsidR="003E22D4">
        <w:t>s</w:t>
      </w:r>
      <w:r>
        <w:t xml:space="preserve"> for the Stoe Stadi-Vari diffractometer and commissioning of the diffractometer as well as the new RDI </w:t>
      </w:r>
      <w:r w:rsidR="00FC1CF2">
        <w:t xml:space="preserve">CMOS </w:t>
      </w:r>
      <w:r>
        <w:t xml:space="preserve">detector on the second endstation (ES2). </w:t>
      </w:r>
      <w:r w:rsidR="00960CD4">
        <w:t xml:space="preserve">More detail on this is given in the beamline annual report. </w:t>
      </w:r>
      <w:bookmarkStart w:id="0" w:name="_GoBack"/>
      <w:bookmarkEnd w:id="0"/>
    </w:p>
    <w:p w:rsidR="00FC1CF2" w:rsidRDefault="00FC1CF2" w:rsidP="007C1EEA">
      <w:r>
        <w:tab/>
        <w:t xml:space="preserve">Cara </w:t>
      </w:r>
      <w:proofErr w:type="spellStart"/>
      <w:r>
        <w:t>Vennari</w:t>
      </w:r>
      <w:proofErr w:type="spellEnd"/>
      <w:r>
        <w:t xml:space="preserve">, of the Williams group at UCSC, was awarded an ALS doctoral fellowship for her continued investigations into carbonates at high pressures. </w:t>
      </w:r>
      <w:r w:rsidR="003E22D4">
        <w:t xml:space="preserve">She has been using 12.2.2 independently for </w:t>
      </w:r>
      <w:proofErr w:type="gramStart"/>
      <w:r w:rsidR="003E22D4">
        <w:t>radial  powder</w:t>
      </w:r>
      <w:proofErr w:type="gramEnd"/>
      <w:r w:rsidR="003E22D4">
        <w:t xml:space="preserve"> and axial </w:t>
      </w:r>
      <w:r>
        <w:t xml:space="preserve"> </w:t>
      </w:r>
      <w:r w:rsidR="003E22D4">
        <w:t xml:space="preserve">single crystal experiments; I have provided crystallographic mentoring whenever she has required it. </w:t>
      </w:r>
    </w:p>
    <w:p w:rsidR="003E22D4" w:rsidRDefault="003E22D4" w:rsidP="00BC1FD2">
      <w:pPr>
        <w:ind w:firstLine="720"/>
      </w:pPr>
      <w:r>
        <w:t>I have been very active in education and outreach this year.  I was again an invited speaker at the National Neutron &amp; X-ray school, and I gave a lecture on single crystal diffraction. I was also an invited speaker at the American Crystallographic Association(ACA)’</w:t>
      </w:r>
      <w:proofErr w:type="gramStart"/>
      <w:r>
        <w:t>s  Chemical</w:t>
      </w:r>
      <w:proofErr w:type="gramEnd"/>
      <w:r>
        <w:t xml:space="preserve"> crystallography summer school- I lectured on refinement techniques, advanced refinement topics and high pressure crystallography.  </w:t>
      </w:r>
      <w:r w:rsidR="009A59BC">
        <w:t xml:space="preserve">I am also consulting with educators who are overhauling the Berkeley lab educational visits- the new model aims to get high school students from the community more familiar with X-ray techniques and proposing experiments. I have submitted an EOID proposal for a chemical crystallography workshop to be held at the ALS next fall.  </w:t>
      </w:r>
      <w:r>
        <w:t xml:space="preserve">I attended two crystallographic conferences during the reporting period- the ACA meeting, and the International Union of Crystallography’s triennial congress. At </w:t>
      </w:r>
      <w:proofErr w:type="gramStart"/>
      <w:r>
        <w:t>both of these</w:t>
      </w:r>
      <w:proofErr w:type="gramEnd"/>
      <w:r>
        <w:t xml:space="preserve"> meetings, I advertised the capabilities of 12.2.2</w:t>
      </w:r>
      <w:r w:rsidR="009A59BC">
        <w:t>, shared my own work,</w:t>
      </w:r>
      <w:r>
        <w:t xml:space="preserve"> as well as </w:t>
      </w:r>
      <w:r w:rsidR="009A59BC">
        <w:t xml:space="preserve">networked with others in the high-pressure diffraction community. I was also invited to the ACA to give a talk about science communication using social </w:t>
      </w:r>
      <w:r w:rsidR="009A59BC">
        <w:lastRenderedPageBreak/>
        <w:t xml:space="preserve">media.  I have reviewed for a number of journals this </w:t>
      </w:r>
      <w:proofErr w:type="gramStart"/>
      <w:r w:rsidR="009A59BC">
        <w:t>year(</w:t>
      </w:r>
      <w:proofErr w:type="gramEnd"/>
      <w:r w:rsidR="009A59BC">
        <w:t xml:space="preserve">JACS, Inorganic </w:t>
      </w:r>
      <w:proofErr w:type="spellStart"/>
      <w:r w:rsidR="009A59BC">
        <w:t>Chem</w:t>
      </w:r>
      <w:proofErr w:type="spellEnd"/>
      <w:r w:rsidR="009A59BC">
        <w:t xml:space="preserve">, Science Advances), as well as my normal reviewing for the APS HP beamlines. </w:t>
      </w:r>
    </w:p>
    <w:p w:rsidR="009A59BC" w:rsidRDefault="009A59BC" w:rsidP="00BC1FD2">
      <w:pPr>
        <w:ind w:firstLine="720"/>
      </w:pPr>
    </w:p>
    <w:p w:rsidR="00DD4D28" w:rsidRDefault="00780CD5">
      <w:r>
        <w:t>2017 &amp; 2016 Accepted Publications:</w:t>
      </w:r>
    </w:p>
    <w:tbl>
      <w:tblPr>
        <w:tblW w:w="9904" w:type="dxa"/>
        <w:tblLayout w:type="fixed"/>
        <w:tblLook w:val="04A0" w:firstRow="1" w:lastRow="0" w:firstColumn="1" w:lastColumn="0" w:noHBand="0" w:noVBand="1"/>
      </w:tblPr>
      <w:tblGrid>
        <w:gridCol w:w="468"/>
        <w:gridCol w:w="1354"/>
        <w:gridCol w:w="8082"/>
      </w:tblGrid>
      <w:tr w:rsidR="00780CD5" w:rsidRPr="007A6B6F" w:rsidTr="00CD1A98">
        <w:trPr>
          <w:trHeight w:val="315"/>
        </w:trPr>
        <w:tc>
          <w:tcPr>
            <w:tcW w:w="468" w:type="dxa"/>
          </w:tcPr>
          <w:p w:rsidR="00780CD5" w:rsidRDefault="00780CD5" w:rsidP="00CD1A98">
            <w:r>
              <w:t>1</w:t>
            </w:r>
          </w:p>
        </w:tc>
        <w:tc>
          <w:tcPr>
            <w:tcW w:w="1354" w:type="dxa"/>
          </w:tcPr>
          <w:p w:rsidR="00780CD5" w:rsidRPr="007A6B6F" w:rsidRDefault="00780CD5" w:rsidP="00CD1A98">
            <w:r>
              <w:t>2017</w:t>
            </w:r>
          </w:p>
        </w:tc>
        <w:tc>
          <w:tcPr>
            <w:tcW w:w="8082" w:type="dxa"/>
            <w:noWrap/>
          </w:tcPr>
          <w:p w:rsidR="00780CD5" w:rsidRPr="007A6B6F" w:rsidRDefault="00780CD5" w:rsidP="00CD1A98">
            <w:r w:rsidRPr="001F149D">
              <w:t>Thomas, K. E.; Beavers, C. M.; Gagnon, K. J.; Ghosh, A., beta-</w:t>
            </w:r>
            <w:proofErr w:type="spellStart"/>
            <w:r w:rsidRPr="001F149D">
              <w:t>Octabromo</w:t>
            </w:r>
            <w:proofErr w:type="spellEnd"/>
            <w:r w:rsidRPr="001F149D">
              <w:t>- and beta-</w:t>
            </w:r>
            <w:proofErr w:type="spellStart"/>
            <w:r w:rsidRPr="001F149D">
              <w:t>Octakis</w:t>
            </w:r>
            <w:proofErr w:type="spellEnd"/>
            <w:r w:rsidRPr="001F149D">
              <w:t>(trifluoromethyl)</w:t>
            </w:r>
            <w:proofErr w:type="spellStart"/>
            <w:r w:rsidRPr="001F149D">
              <w:t>isocorroles</w:t>
            </w:r>
            <w:proofErr w:type="spellEnd"/>
            <w:r w:rsidRPr="001F149D">
              <w:t xml:space="preserve">: New Sterically Constrained Macrocyclic Ligands. </w:t>
            </w:r>
            <w:proofErr w:type="spellStart"/>
            <w:r w:rsidRPr="001F149D">
              <w:rPr>
                <w:i/>
                <w:iCs/>
              </w:rPr>
              <w:t>Chemistryopen</w:t>
            </w:r>
            <w:proofErr w:type="spellEnd"/>
            <w:r w:rsidRPr="001F149D">
              <w:rPr>
                <w:i/>
                <w:iCs/>
              </w:rPr>
              <w:t xml:space="preserve"> </w:t>
            </w:r>
            <w:r w:rsidRPr="001F149D">
              <w:rPr>
                <w:b/>
                <w:bCs/>
              </w:rPr>
              <w:t>2017,</w:t>
            </w:r>
            <w:r w:rsidRPr="001F149D">
              <w:t xml:space="preserve"> </w:t>
            </w:r>
            <w:r w:rsidRPr="001F149D">
              <w:rPr>
                <w:i/>
                <w:iCs/>
              </w:rPr>
              <w:t>6</w:t>
            </w:r>
            <w:r w:rsidRPr="001F149D">
              <w:t xml:space="preserve"> (3), 402-409.</w:t>
            </w:r>
          </w:p>
        </w:tc>
      </w:tr>
      <w:tr w:rsidR="00780CD5" w:rsidRPr="007A6B6F" w:rsidTr="00CD1A98">
        <w:trPr>
          <w:trHeight w:val="315"/>
        </w:trPr>
        <w:tc>
          <w:tcPr>
            <w:tcW w:w="468" w:type="dxa"/>
          </w:tcPr>
          <w:p w:rsidR="00780CD5" w:rsidRPr="007A6B6F" w:rsidRDefault="00780CD5" w:rsidP="00CD1A98">
            <w:r>
              <w:t>2</w:t>
            </w:r>
          </w:p>
        </w:tc>
        <w:tc>
          <w:tcPr>
            <w:tcW w:w="1354" w:type="dxa"/>
          </w:tcPr>
          <w:p w:rsidR="00780CD5" w:rsidRPr="007A6B6F" w:rsidRDefault="00780CD5" w:rsidP="00CD1A98"/>
        </w:tc>
        <w:tc>
          <w:tcPr>
            <w:tcW w:w="8082" w:type="dxa"/>
            <w:noWrap/>
          </w:tcPr>
          <w:p w:rsidR="00780CD5" w:rsidRPr="007A6B6F" w:rsidRDefault="00780CD5" w:rsidP="00CD1A98">
            <w:r w:rsidRPr="001F149D">
              <w:t xml:space="preserve">O'Bannon, E.; Beavers, C. M.; Kunz, M.; Williams, Q., The high-pressure phase of lawsonite: A single crystal study of a key mantle hydrous phase. </w:t>
            </w:r>
            <w:r w:rsidRPr="001F149D">
              <w:rPr>
                <w:i/>
                <w:iCs/>
              </w:rPr>
              <w:t xml:space="preserve">Journal of Geophysical Research-Solid Earth </w:t>
            </w:r>
            <w:r w:rsidRPr="001F149D">
              <w:rPr>
                <w:b/>
                <w:bCs/>
              </w:rPr>
              <w:t>2017,</w:t>
            </w:r>
            <w:r w:rsidRPr="001F149D">
              <w:t xml:space="preserve"> </w:t>
            </w:r>
            <w:r w:rsidRPr="001F149D">
              <w:rPr>
                <w:i/>
                <w:iCs/>
              </w:rPr>
              <w:t>122</w:t>
            </w:r>
            <w:r w:rsidRPr="001F149D">
              <w:t xml:space="preserve"> (8), 6294-6305.</w:t>
            </w:r>
          </w:p>
        </w:tc>
      </w:tr>
      <w:tr w:rsidR="00780CD5" w:rsidRPr="007A6B6F" w:rsidTr="00CD1A98">
        <w:trPr>
          <w:trHeight w:val="315"/>
        </w:trPr>
        <w:tc>
          <w:tcPr>
            <w:tcW w:w="468" w:type="dxa"/>
          </w:tcPr>
          <w:p w:rsidR="00780CD5" w:rsidRPr="007A6B6F" w:rsidRDefault="00780CD5" w:rsidP="00CD1A98">
            <w:r>
              <w:t>3</w:t>
            </w:r>
          </w:p>
        </w:tc>
        <w:tc>
          <w:tcPr>
            <w:tcW w:w="1354" w:type="dxa"/>
          </w:tcPr>
          <w:p w:rsidR="00780CD5" w:rsidRPr="007A6B6F" w:rsidRDefault="00780CD5" w:rsidP="00CD1A98"/>
        </w:tc>
        <w:tc>
          <w:tcPr>
            <w:tcW w:w="8082" w:type="dxa"/>
            <w:noWrap/>
          </w:tcPr>
          <w:p w:rsidR="00780CD5" w:rsidRPr="007A6B6F" w:rsidRDefault="00780CD5" w:rsidP="00CD1A98">
            <w:r w:rsidRPr="001F149D">
              <w:t xml:space="preserve">Mattox, T. M.; </w:t>
            </w:r>
            <w:proofErr w:type="spellStart"/>
            <w:r w:rsidRPr="001F149D">
              <w:t>Groome</w:t>
            </w:r>
            <w:proofErr w:type="spellEnd"/>
            <w:r w:rsidRPr="001F149D">
              <w:t xml:space="preserve">, C.; Doran, A.; Beavers, C. M.; Urban, J. J., Anion-mediated negative thermal expansion in lanthanum hexaboride. </w:t>
            </w:r>
            <w:r w:rsidRPr="001F149D">
              <w:rPr>
                <w:i/>
                <w:iCs/>
              </w:rPr>
              <w:t xml:space="preserve">Solid State Communications </w:t>
            </w:r>
            <w:r w:rsidRPr="001F149D">
              <w:rPr>
                <w:b/>
                <w:bCs/>
              </w:rPr>
              <w:t>2017,</w:t>
            </w:r>
            <w:r w:rsidRPr="001F149D">
              <w:t xml:space="preserve"> </w:t>
            </w:r>
            <w:r w:rsidRPr="001F149D">
              <w:rPr>
                <w:i/>
                <w:iCs/>
              </w:rPr>
              <w:t>265</w:t>
            </w:r>
            <w:r w:rsidRPr="001F149D">
              <w:t>, 47-51.</w:t>
            </w:r>
          </w:p>
        </w:tc>
      </w:tr>
      <w:tr w:rsidR="00780CD5" w:rsidRPr="007A6B6F" w:rsidTr="00CD1A98">
        <w:trPr>
          <w:trHeight w:val="315"/>
        </w:trPr>
        <w:tc>
          <w:tcPr>
            <w:tcW w:w="468" w:type="dxa"/>
          </w:tcPr>
          <w:p w:rsidR="00780CD5" w:rsidRPr="007A6B6F" w:rsidRDefault="00780CD5" w:rsidP="00CD1A98">
            <w:r>
              <w:t>4</w:t>
            </w:r>
          </w:p>
        </w:tc>
        <w:tc>
          <w:tcPr>
            <w:tcW w:w="1354" w:type="dxa"/>
          </w:tcPr>
          <w:p w:rsidR="00780CD5" w:rsidRPr="007A6B6F" w:rsidRDefault="00780CD5" w:rsidP="00CD1A98"/>
        </w:tc>
        <w:tc>
          <w:tcPr>
            <w:tcW w:w="8082" w:type="dxa"/>
            <w:noWrap/>
          </w:tcPr>
          <w:p w:rsidR="00780CD5" w:rsidRPr="007A6B6F" w:rsidRDefault="00780CD5" w:rsidP="00CD1A98">
            <w:r w:rsidRPr="001F149D">
              <w:t xml:space="preserve">Doran, A.; </w:t>
            </w:r>
            <w:proofErr w:type="spellStart"/>
            <w:r w:rsidRPr="001F149D">
              <w:t>Schlicker</w:t>
            </w:r>
            <w:proofErr w:type="spellEnd"/>
            <w:r w:rsidRPr="001F149D">
              <w:t xml:space="preserve">, L.; Beavers, C. M.; Bhat, S.; </w:t>
            </w:r>
            <w:proofErr w:type="spellStart"/>
            <w:r w:rsidRPr="001F149D">
              <w:t>Bekheet</w:t>
            </w:r>
            <w:proofErr w:type="spellEnd"/>
            <w:r w:rsidRPr="001F149D">
              <w:t xml:space="preserve">, M. F.; </w:t>
            </w:r>
            <w:proofErr w:type="spellStart"/>
            <w:r w:rsidRPr="001F149D">
              <w:t>Gurlo</w:t>
            </w:r>
            <w:proofErr w:type="spellEnd"/>
            <w:r w:rsidRPr="001F149D">
              <w:t xml:space="preserve">, A., Compact low power infrared tube furnace for in situ X-ray powder diffraction. </w:t>
            </w:r>
            <w:r w:rsidRPr="001F149D">
              <w:rPr>
                <w:i/>
                <w:iCs/>
              </w:rPr>
              <w:t xml:space="preserve">Review of Scientific Instruments </w:t>
            </w:r>
            <w:r w:rsidRPr="001F149D">
              <w:rPr>
                <w:b/>
                <w:bCs/>
              </w:rPr>
              <w:t>2017,</w:t>
            </w:r>
            <w:r w:rsidRPr="001F149D">
              <w:t xml:space="preserve"> </w:t>
            </w:r>
            <w:r w:rsidRPr="001F149D">
              <w:rPr>
                <w:i/>
                <w:iCs/>
              </w:rPr>
              <w:t>88</w:t>
            </w:r>
            <w:r w:rsidRPr="001F149D">
              <w:t xml:space="preserve"> (1).</w:t>
            </w:r>
          </w:p>
        </w:tc>
      </w:tr>
      <w:tr w:rsidR="00780CD5" w:rsidRPr="007A6B6F" w:rsidTr="00CD1A98">
        <w:trPr>
          <w:trHeight w:val="315"/>
        </w:trPr>
        <w:tc>
          <w:tcPr>
            <w:tcW w:w="468" w:type="dxa"/>
          </w:tcPr>
          <w:p w:rsidR="00780CD5" w:rsidRPr="007A6B6F" w:rsidRDefault="00780CD5" w:rsidP="00CD1A98">
            <w:r>
              <w:t>5</w:t>
            </w:r>
          </w:p>
        </w:tc>
        <w:tc>
          <w:tcPr>
            <w:tcW w:w="1354" w:type="dxa"/>
          </w:tcPr>
          <w:p w:rsidR="00780CD5" w:rsidRPr="007A6B6F" w:rsidRDefault="00780CD5" w:rsidP="00CD1A98"/>
        </w:tc>
        <w:tc>
          <w:tcPr>
            <w:tcW w:w="8082" w:type="dxa"/>
            <w:noWrap/>
          </w:tcPr>
          <w:p w:rsidR="00780CD5" w:rsidRPr="007A6B6F" w:rsidRDefault="00780CD5" w:rsidP="00CD1A98">
            <w:r w:rsidRPr="001F149D">
              <w:t xml:space="preserve">Bryant, M. J.; Skelton, J. M.; Hatcher, L. E.; Stubbs, C.; Madrid, E.; </w:t>
            </w:r>
            <w:proofErr w:type="spellStart"/>
            <w:r w:rsidRPr="001F149D">
              <w:t>Pallipurath</w:t>
            </w:r>
            <w:proofErr w:type="spellEnd"/>
            <w:r w:rsidRPr="001F149D">
              <w:t xml:space="preserve">, A. R.; Thomas, L. H.; Woodall, C. H.; Christensen, J.; Fuertes, S.; Robinson, T. P.; Beavers, C. M.; Teat, S. J.; Warren, M. R.; </w:t>
            </w:r>
            <w:proofErr w:type="spellStart"/>
            <w:r w:rsidRPr="001F149D">
              <w:t>Pradaux-Caggiano</w:t>
            </w:r>
            <w:proofErr w:type="spellEnd"/>
            <w:r w:rsidRPr="001F149D">
              <w:t xml:space="preserve">, F.; Walsh, A.; </w:t>
            </w:r>
            <w:proofErr w:type="spellStart"/>
            <w:r w:rsidRPr="001F149D">
              <w:t>Marken</w:t>
            </w:r>
            <w:proofErr w:type="spellEnd"/>
            <w:r w:rsidRPr="001F149D">
              <w:t xml:space="preserve">, F.; </w:t>
            </w:r>
            <w:proofErr w:type="spellStart"/>
            <w:r w:rsidRPr="001F149D">
              <w:t>Carbery</w:t>
            </w:r>
            <w:proofErr w:type="spellEnd"/>
            <w:r w:rsidRPr="001F149D">
              <w:t xml:space="preserve">, D. R.; Parker, S. C.; McKeown, N. B.; </w:t>
            </w:r>
            <w:proofErr w:type="spellStart"/>
            <w:r w:rsidRPr="001F149D">
              <w:t>Malpass</w:t>
            </w:r>
            <w:proofErr w:type="spellEnd"/>
            <w:r w:rsidRPr="001F149D">
              <w:t xml:space="preserve">-Evans, R.; Carta, M.; </w:t>
            </w:r>
            <w:proofErr w:type="spellStart"/>
            <w:r w:rsidRPr="001F149D">
              <w:t>Raithby</w:t>
            </w:r>
            <w:proofErr w:type="spellEnd"/>
            <w:r w:rsidRPr="001F149D">
              <w:t xml:space="preserve">, P. R., A rapidly-reversible absorptive and emissive </w:t>
            </w:r>
            <w:proofErr w:type="spellStart"/>
            <w:r w:rsidRPr="001F149D">
              <w:t>vapochromic</w:t>
            </w:r>
            <w:proofErr w:type="spellEnd"/>
            <w:r w:rsidRPr="001F149D">
              <w:t xml:space="preserve"> Pt(II) pincer-based chemical sensor. </w:t>
            </w:r>
            <w:r w:rsidRPr="001F149D">
              <w:rPr>
                <w:i/>
                <w:iCs/>
              </w:rPr>
              <w:t xml:space="preserve">Nature Communications </w:t>
            </w:r>
            <w:r w:rsidRPr="001F149D">
              <w:rPr>
                <w:b/>
                <w:bCs/>
              </w:rPr>
              <w:t>2017,</w:t>
            </w:r>
            <w:r w:rsidRPr="001F149D">
              <w:t xml:space="preserve"> </w:t>
            </w:r>
            <w:r w:rsidRPr="001F149D">
              <w:rPr>
                <w:i/>
                <w:iCs/>
              </w:rPr>
              <w:t>8</w:t>
            </w:r>
            <w:r w:rsidRPr="001F149D">
              <w:t xml:space="preserve"> (1), 1800.</w:t>
            </w:r>
          </w:p>
        </w:tc>
      </w:tr>
      <w:tr w:rsidR="00780CD5" w:rsidRPr="007A6B6F" w:rsidTr="00CD1A98">
        <w:trPr>
          <w:trHeight w:val="315"/>
        </w:trPr>
        <w:tc>
          <w:tcPr>
            <w:tcW w:w="468" w:type="dxa"/>
          </w:tcPr>
          <w:p w:rsidR="00780CD5" w:rsidRPr="007A6B6F" w:rsidRDefault="00780CD5" w:rsidP="00CD1A98">
            <w:r>
              <w:t>1</w:t>
            </w:r>
          </w:p>
        </w:tc>
        <w:tc>
          <w:tcPr>
            <w:tcW w:w="1354" w:type="dxa"/>
          </w:tcPr>
          <w:p w:rsidR="00780CD5" w:rsidRPr="007A6B6F" w:rsidRDefault="00780CD5" w:rsidP="00CD1A98">
            <w:r w:rsidRPr="007A6B6F">
              <w:t>2016</w:t>
            </w:r>
          </w:p>
        </w:tc>
        <w:tc>
          <w:tcPr>
            <w:tcW w:w="8082" w:type="dxa"/>
            <w:noWrap/>
          </w:tcPr>
          <w:p w:rsidR="00780CD5" w:rsidRPr="007A6B6F" w:rsidRDefault="00780CD5" w:rsidP="00CD1A98">
            <w:r w:rsidRPr="0062221C">
              <w:t xml:space="preserve">Kou, F.; Yang, S.; Qian, H.; Zhang, L.; Beavers, C. M.; Teat, S. J.; Tian, G., A fluorescence study on the complexation of Sm(III), Eu(III) and Tb(III) with </w:t>
            </w:r>
            <w:proofErr w:type="spellStart"/>
            <w:r w:rsidRPr="0062221C">
              <w:t>tetraalkyldiglycolamides</w:t>
            </w:r>
            <w:proofErr w:type="spellEnd"/>
            <w:r w:rsidRPr="0062221C">
              <w:t xml:space="preserve"> (TRDGA) in aqueous solution, in solid state, and in solvent extraction. </w:t>
            </w:r>
            <w:r w:rsidRPr="0062221C">
              <w:rPr>
                <w:i/>
                <w:iCs/>
              </w:rPr>
              <w:t xml:space="preserve">Dalton Transactions </w:t>
            </w:r>
            <w:r w:rsidRPr="0062221C">
              <w:rPr>
                <w:b/>
                <w:bCs/>
              </w:rPr>
              <w:t>2016,</w:t>
            </w:r>
            <w:r w:rsidRPr="0062221C">
              <w:t xml:space="preserve"> </w:t>
            </w:r>
            <w:r w:rsidRPr="0062221C">
              <w:rPr>
                <w:i/>
                <w:iCs/>
              </w:rPr>
              <w:t>45</w:t>
            </w:r>
            <w:r w:rsidRPr="0062221C">
              <w:t xml:space="preserve"> (46), 18484-18493.</w:t>
            </w:r>
          </w:p>
        </w:tc>
      </w:tr>
      <w:tr w:rsidR="00780CD5" w:rsidRPr="007A6B6F" w:rsidTr="00CD1A98">
        <w:trPr>
          <w:trHeight w:val="315"/>
        </w:trPr>
        <w:tc>
          <w:tcPr>
            <w:tcW w:w="468" w:type="dxa"/>
          </w:tcPr>
          <w:p w:rsidR="00780CD5" w:rsidRPr="007A6B6F" w:rsidRDefault="00780CD5" w:rsidP="00CD1A98">
            <w:r>
              <w:t>2</w:t>
            </w:r>
          </w:p>
        </w:tc>
        <w:tc>
          <w:tcPr>
            <w:tcW w:w="1354" w:type="dxa"/>
          </w:tcPr>
          <w:p w:rsidR="00780CD5" w:rsidRPr="007A6B6F" w:rsidRDefault="00780CD5" w:rsidP="00CD1A98"/>
        </w:tc>
        <w:tc>
          <w:tcPr>
            <w:tcW w:w="8082" w:type="dxa"/>
            <w:noWrap/>
          </w:tcPr>
          <w:p w:rsidR="00780CD5" w:rsidRPr="007A6B6F" w:rsidRDefault="00780CD5" w:rsidP="00CD1A98">
            <w:r w:rsidRPr="007A6B6F">
              <w:t xml:space="preserve">Woodall, C. H.; Christensen, J.; Skelton, J. M.; Hatcher, L. E.; </w:t>
            </w:r>
            <w:proofErr w:type="spellStart"/>
            <w:r w:rsidRPr="007A6B6F">
              <w:t>Parlett</w:t>
            </w:r>
            <w:proofErr w:type="spellEnd"/>
            <w:r w:rsidRPr="007A6B6F">
              <w:t xml:space="preserve">, A.; </w:t>
            </w:r>
            <w:proofErr w:type="spellStart"/>
            <w:r w:rsidRPr="007A6B6F">
              <w:t>Raithby</w:t>
            </w:r>
            <w:proofErr w:type="spellEnd"/>
            <w:r w:rsidRPr="007A6B6F">
              <w:t xml:space="preserve">, P. R.; Walsh, A.; Parker, S. C.; Beavers, C. M.; Teat, S. J.; </w:t>
            </w:r>
            <w:proofErr w:type="spellStart"/>
            <w:r w:rsidRPr="007A6B6F">
              <w:t>Intissar</w:t>
            </w:r>
            <w:proofErr w:type="spellEnd"/>
            <w:r w:rsidRPr="007A6B6F">
              <w:t xml:space="preserve">, M.; </w:t>
            </w:r>
            <w:proofErr w:type="spellStart"/>
            <w:r w:rsidRPr="007A6B6F">
              <w:t>Reber</w:t>
            </w:r>
            <w:proofErr w:type="spellEnd"/>
            <w:r w:rsidRPr="007A6B6F">
              <w:t xml:space="preserve">, C.; Allan, D. R. Observation of a re-entrant phase transition in the molecular complex </w:t>
            </w:r>
            <w:proofErr w:type="gramStart"/>
            <w:r w:rsidRPr="007A6B6F">
              <w:t>tris(</w:t>
            </w:r>
            <w:proofErr w:type="gramEnd"/>
            <w:r w:rsidRPr="007A6B6F">
              <w:rPr>
                <w:rFonts w:ascii="Cambria" w:hAnsi="Cambria" w:cs="Cambria"/>
              </w:rPr>
              <w:t>μ</w:t>
            </w:r>
            <w:r w:rsidRPr="007A6B6F">
              <w:rPr>
                <w:vertAlign w:val="subscript"/>
              </w:rPr>
              <w:t>2</w:t>
            </w:r>
            <w:r w:rsidRPr="007A6B6F">
              <w:t>-3,5-diisopropyl-1,2,4-triazolato-</w:t>
            </w:r>
            <w:r w:rsidRPr="007A6B6F">
              <w:rPr>
                <w:rFonts w:ascii="Cambria" w:hAnsi="Cambria" w:cs="Cambria"/>
              </w:rPr>
              <w:t>κ</w:t>
            </w:r>
            <w:r w:rsidRPr="007A6B6F">
              <w:rPr>
                <w:vertAlign w:val="superscript"/>
              </w:rPr>
              <w:t>2</w:t>
            </w:r>
            <w:r w:rsidRPr="007A6B6F">
              <w:t xml:space="preserve"> N</w:t>
            </w:r>
            <w:r w:rsidRPr="007A6B6F">
              <w:rPr>
                <w:vertAlign w:val="superscript"/>
              </w:rPr>
              <w:t>1</w:t>
            </w:r>
            <w:r w:rsidRPr="007A6B6F">
              <w:t>:N</w:t>
            </w:r>
            <w:r w:rsidRPr="007A6B6F">
              <w:rPr>
                <w:vertAlign w:val="superscript"/>
              </w:rPr>
              <w:t>2</w:t>
            </w:r>
            <w:r w:rsidRPr="007A6B6F">
              <w:t>)</w:t>
            </w:r>
            <w:proofErr w:type="spellStart"/>
            <w:r w:rsidRPr="007A6B6F">
              <w:t>trigold</w:t>
            </w:r>
            <w:proofErr w:type="spellEnd"/>
            <w:r w:rsidRPr="007A6B6F">
              <w:t xml:space="preserve">(I) under high pressure. </w:t>
            </w:r>
            <w:proofErr w:type="spellStart"/>
            <w:r w:rsidRPr="007A6B6F">
              <w:rPr>
                <w:i/>
                <w:iCs/>
              </w:rPr>
              <w:t>IUCrJ</w:t>
            </w:r>
            <w:proofErr w:type="spellEnd"/>
            <w:r w:rsidRPr="007A6B6F">
              <w:t xml:space="preserve"> </w:t>
            </w:r>
            <w:r w:rsidRPr="007A6B6F">
              <w:rPr>
                <w:b/>
                <w:bCs/>
              </w:rPr>
              <w:t>2016</w:t>
            </w:r>
            <w:r w:rsidRPr="007A6B6F">
              <w:t xml:space="preserve">, </w:t>
            </w:r>
            <w:r w:rsidRPr="007A6B6F">
              <w:rPr>
                <w:i/>
                <w:iCs/>
              </w:rPr>
              <w:t>3</w:t>
            </w:r>
            <w:r w:rsidRPr="007A6B6F">
              <w:t>, 367.</w:t>
            </w:r>
          </w:p>
        </w:tc>
      </w:tr>
      <w:tr w:rsidR="00780CD5" w:rsidRPr="007A6B6F" w:rsidTr="00CD1A98">
        <w:trPr>
          <w:trHeight w:val="315"/>
        </w:trPr>
        <w:tc>
          <w:tcPr>
            <w:tcW w:w="468" w:type="dxa"/>
          </w:tcPr>
          <w:p w:rsidR="00780CD5" w:rsidRPr="007A6B6F" w:rsidRDefault="00780CD5" w:rsidP="00CD1A98">
            <w:r>
              <w:lastRenderedPageBreak/>
              <w:t>3</w:t>
            </w:r>
          </w:p>
        </w:tc>
        <w:tc>
          <w:tcPr>
            <w:tcW w:w="1354" w:type="dxa"/>
          </w:tcPr>
          <w:p w:rsidR="00780CD5" w:rsidRPr="007A6B6F" w:rsidRDefault="00780CD5" w:rsidP="00CD1A98"/>
        </w:tc>
        <w:tc>
          <w:tcPr>
            <w:tcW w:w="8082" w:type="dxa"/>
            <w:noWrap/>
          </w:tcPr>
          <w:p w:rsidR="00780CD5" w:rsidRPr="007A6B6F" w:rsidRDefault="00780CD5" w:rsidP="00CD1A98">
            <w:proofErr w:type="spellStart"/>
            <w:r w:rsidRPr="007A6B6F">
              <w:t>Norheim</w:t>
            </w:r>
            <w:proofErr w:type="spellEnd"/>
            <w:r w:rsidRPr="007A6B6F">
              <w:t xml:space="preserve">, H. K.; </w:t>
            </w:r>
            <w:proofErr w:type="spellStart"/>
            <w:r w:rsidRPr="007A6B6F">
              <w:t>Capar</w:t>
            </w:r>
            <w:proofErr w:type="spellEnd"/>
            <w:r w:rsidRPr="007A6B6F">
              <w:t xml:space="preserve">, J.; </w:t>
            </w:r>
            <w:proofErr w:type="spellStart"/>
            <w:r w:rsidRPr="007A6B6F">
              <w:t>Einrem</w:t>
            </w:r>
            <w:proofErr w:type="spellEnd"/>
            <w:r w:rsidRPr="007A6B6F">
              <w:t xml:space="preserve">, R. F.; Gagnon, K. J.; Beavers, C. M.; Vazquez-Lima, H.; Ghosh, A. Ligand noninnocence in </w:t>
            </w:r>
            <w:proofErr w:type="spellStart"/>
            <w:r w:rsidRPr="007A6B6F">
              <w:t>FeNO</w:t>
            </w:r>
            <w:proofErr w:type="spellEnd"/>
            <w:r w:rsidRPr="007A6B6F">
              <w:t xml:space="preserve"> </w:t>
            </w:r>
            <w:proofErr w:type="spellStart"/>
            <w:r w:rsidRPr="007A6B6F">
              <w:t>corroles</w:t>
            </w:r>
            <w:proofErr w:type="spellEnd"/>
            <w:r w:rsidRPr="007A6B6F">
              <w:t>: insights from beta-</w:t>
            </w:r>
            <w:proofErr w:type="spellStart"/>
            <w:r w:rsidRPr="007A6B6F">
              <w:t>octabromocorrole</w:t>
            </w:r>
            <w:proofErr w:type="spellEnd"/>
            <w:r w:rsidRPr="007A6B6F">
              <w:t xml:space="preserve"> complexes. </w:t>
            </w:r>
            <w:r w:rsidRPr="007A6B6F">
              <w:rPr>
                <w:i/>
                <w:iCs/>
              </w:rPr>
              <w:t>Dalton Transactions</w:t>
            </w:r>
            <w:r w:rsidRPr="007A6B6F">
              <w:t xml:space="preserve"> </w:t>
            </w:r>
            <w:r w:rsidRPr="007A6B6F">
              <w:rPr>
                <w:b/>
                <w:bCs/>
              </w:rPr>
              <w:t>2016</w:t>
            </w:r>
            <w:r w:rsidRPr="007A6B6F">
              <w:t xml:space="preserve">, </w:t>
            </w:r>
            <w:r w:rsidRPr="007A6B6F">
              <w:rPr>
                <w:i/>
                <w:iCs/>
              </w:rPr>
              <w:t>45</w:t>
            </w:r>
            <w:r w:rsidRPr="007A6B6F">
              <w:t>, 681.</w:t>
            </w:r>
          </w:p>
        </w:tc>
      </w:tr>
      <w:tr w:rsidR="00780CD5" w:rsidRPr="007A6B6F" w:rsidTr="00CD1A98">
        <w:trPr>
          <w:trHeight w:val="315"/>
        </w:trPr>
        <w:tc>
          <w:tcPr>
            <w:tcW w:w="468" w:type="dxa"/>
          </w:tcPr>
          <w:p w:rsidR="00780CD5" w:rsidRPr="007A6B6F" w:rsidRDefault="00780CD5" w:rsidP="00CD1A98">
            <w:r>
              <w:t>4</w:t>
            </w:r>
          </w:p>
        </w:tc>
        <w:tc>
          <w:tcPr>
            <w:tcW w:w="1354" w:type="dxa"/>
          </w:tcPr>
          <w:p w:rsidR="00780CD5" w:rsidRPr="007A6B6F" w:rsidRDefault="00780CD5" w:rsidP="00CD1A98"/>
        </w:tc>
        <w:tc>
          <w:tcPr>
            <w:tcW w:w="8082" w:type="dxa"/>
            <w:noWrap/>
          </w:tcPr>
          <w:p w:rsidR="00780CD5" w:rsidRPr="007A6B6F" w:rsidRDefault="00780CD5" w:rsidP="00CD1A98">
            <w:r w:rsidRPr="007A6B6F">
              <w:t xml:space="preserve">Jaffe, A.; Lin, Y.; Beavers, C. M.; Voss, J.; Mao, W. L.; </w:t>
            </w:r>
            <w:proofErr w:type="spellStart"/>
            <w:r w:rsidRPr="007A6B6F">
              <w:t>Karunadasa</w:t>
            </w:r>
            <w:proofErr w:type="spellEnd"/>
            <w:r w:rsidRPr="007A6B6F">
              <w:t xml:space="preserve">, H. I. High-Pressure Single-Crystal Structures of 3D Lead-Halide Hybrid Perovskites and Pressure Effects on their Electronic and Optical Properties. </w:t>
            </w:r>
            <w:r w:rsidRPr="007A6B6F">
              <w:rPr>
                <w:i/>
                <w:iCs/>
              </w:rPr>
              <w:t>ACS Central Science</w:t>
            </w:r>
            <w:r w:rsidRPr="007A6B6F">
              <w:t xml:space="preserve"> </w:t>
            </w:r>
            <w:r w:rsidRPr="007A6B6F">
              <w:rPr>
                <w:b/>
                <w:bCs/>
              </w:rPr>
              <w:t>2016</w:t>
            </w:r>
            <w:r w:rsidRPr="007A6B6F">
              <w:t xml:space="preserve">, </w:t>
            </w:r>
            <w:r w:rsidRPr="007A6B6F">
              <w:rPr>
                <w:i/>
                <w:iCs/>
              </w:rPr>
              <w:t>2</w:t>
            </w:r>
            <w:r w:rsidRPr="007A6B6F">
              <w:t>, 201.</w:t>
            </w:r>
          </w:p>
        </w:tc>
      </w:tr>
      <w:tr w:rsidR="00780CD5" w:rsidRPr="007A6B6F" w:rsidTr="00CD1A98">
        <w:trPr>
          <w:trHeight w:val="315"/>
        </w:trPr>
        <w:tc>
          <w:tcPr>
            <w:tcW w:w="468" w:type="dxa"/>
          </w:tcPr>
          <w:p w:rsidR="00780CD5" w:rsidRPr="007A6B6F" w:rsidRDefault="00780CD5" w:rsidP="00CD1A98">
            <w:r>
              <w:t>5</w:t>
            </w:r>
          </w:p>
        </w:tc>
        <w:tc>
          <w:tcPr>
            <w:tcW w:w="1354" w:type="dxa"/>
          </w:tcPr>
          <w:p w:rsidR="00780CD5" w:rsidRPr="007A6B6F" w:rsidRDefault="00780CD5" w:rsidP="00CD1A98"/>
        </w:tc>
        <w:tc>
          <w:tcPr>
            <w:tcW w:w="8082" w:type="dxa"/>
            <w:noWrap/>
          </w:tcPr>
          <w:p w:rsidR="00780CD5" w:rsidRPr="007A6B6F" w:rsidRDefault="00780CD5" w:rsidP="00CD1A98">
            <w:r w:rsidRPr="007A6B6F">
              <w:t xml:space="preserve">Alexandropoulos, D. I.; </w:t>
            </w:r>
            <w:proofErr w:type="spellStart"/>
            <w:r w:rsidRPr="007A6B6F">
              <w:t>Moushi</w:t>
            </w:r>
            <w:proofErr w:type="spellEnd"/>
            <w:r w:rsidRPr="007A6B6F">
              <w:t xml:space="preserve">, E. E.; </w:t>
            </w:r>
            <w:proofErr w:type="spellStart"/>
            <w:r w:rsidRPr="007A6B6F">
              <w:t>Papatriantafyllopoulou</w:t>
            </w:r>
            <w:proofErr w:type="spellEnd"/>
            <w:r w:rsidRPr="007A6B6F">
              <w:t xml:space="preserve">, C.; Beavers, C. M.; Teat, S. J.; </w:t>
            </w:r>
            <w:proofErr w:type="spellStart"/>
            <w:r w:rsidRPr="007A6B6F">
              <w:t>Tasiopoulos</w:t>
            </w:r>
            <w:proofErr w:type="spellEnd"/>
            <w:r w:rsidRPr="007A6B6F">
              <w:t xml:space="preserve">, A. J.; Christou, G.; </w:t>
            </w:r>
            <w:proofErr w:type="spellStart"/>
            <w:r w:rsidRPr="007A6B6F">
              <w:t>Stamatatos</w:t>
            </w:r>
            <w:proofErr w:type="spellEnd"/>
            <w:r w:rsidRPr="007A6B6F">
              <w:t xml:space="preserve">, T. C. Cyanate groups in higher oxidation state metal cluster chemistry: Mixed-valence (II/III) Mn-16 and Mn-18 clusters. </w:t>
            </w:r>
            <w:r w:rsidRPr="007A6B6F">
              <w:rPr>
                <w:i/>
                <w:iCs/>
              </w:rPr>
              <w:t>Polyhedron</w:t>
            </w:r>
            <w:r w:rsidRPr="007A6B6F">
              <w:t xml:space="preserve"> </w:t>
            </w:r>
            <w:r w:rsidRPr="007A6B6F">
              <w:rPr>
                <w:b/>
                <w:bCs/>
              </w:rPr>
              <w:t>2016</w:t>
            </w:r>
            <w:r w:rsidRPr="007A6B6F">
              <w:t xml:space="preserve">, </w:t>
            </w:r>
            <w:r w:rsidRPr="007A6B6F">
              <w:rPr>
                <w:i/>
                <w:iCs/>
              </w:rPr>
              <w:t>108</w:t>
            </w:r>
            <w:r w:rsidRPr="007A6B6F">
              <w:t>, 131.</w:t>
            </w:r>
          </w:p>
        </w:tc>
      </w:tr>
      <w:tr w:rsidR="00780CD5" w:rsidRPr="007A6B6F" w:rsidTr="00CD1A98">
        <w:trPr>
          <w:trHeight w:val="315"/>
        </w:trPr>
        <w:tc>
          <w:tcPr>
            <w:tcW w:w="468" w:type="dxa"/>
          </w:tcPr>
          <w:p w:rsidR="00780CD5" w:rsidRPr="007A6B6F" w:rsidRDefault="00780CD5" w:rsidP="00CD1A98">
            <w:r>
              <w:t>6</w:t>
            </w:r>
          </w:p>
        </w:tc>
        <w:tc>
          <w:tcPr>
            <w:tcW w:w="1354" w:type="dxa"/>
          </w:tcPr>
          <w:p w:rsidR="00780CD5" w:rsidRPr="007A6B6F" w:rsidRDefault="00780CD5" w:rsidP="00CD1A98"/>
        </w:tc>
        <w:tc>
          <w:tcPr>
            <w:tcW w:w="8082" w:type="dxa"/>
            <w:noWrap/>
          </w:tcPr>
          <w:p w:rsidR="00780CD5" w:rsidRPr="007A6B6F" w:rsidRDefault="00780CD5" w:rsidP="00CD1A98">
            <w:proofErr w:type="spellStart"/>
            <w:r w:rsidRPr="007A6B6F">
              <w:t>Aromi</w:t>
            </w:r>
            <w:proofErr w:type="spellEnd"/>
            <w:r w:rsidRPr="007A6B6F">
              <w:t xml:space="preserve">, G.; Beavers, C. M.; Sanchez Costa, J.; Craig, G. A.; </w:t>
            </w:r>
            <w:proofErr w:type="spellStart"/>
            <w:r w:rsidRPr="007A6B6F">
              <w:t>Minguez</w:t>
            </w:r>
            <w:proofErr w:type="spellEnd"/>
            <w:r w:rsidRPr="007A6B6F">
              <w:t xml:space="preserve"> </w:t>
            </w:r>
            <w:proofErr w:type="spellStart"/>
            <w:r w:rsidRPr="007A6B6F">
              <w:t>Espallargas</w:t>
            </w:r>
            <w:proofErr w:type="spellEnd"/>
            <w:r w:rsidRPr="007A6B6F">
              <w:t xml:space="preserve">, G.; </w:t>
            </w:r>
            <w:proofErr w:type="spellStart"/>
            <w:r w:rsidRPr="007A6B6F">
              <w:t>Orerad</w:t>
            </w:r>
            <w:proofErr w:type="spellEnd"/>
            <w:r w:rsidRPr="007A6B6F">
              <w:t xml:space="preserve">, A.; </w:t>
            </w:r>
            <w:proofErr w:type="spellStart"/>
            <w:r w:rsidRPr="007A6B6F">
              <w:t>Roubeau</w:t>
            </w:r>
            <w:proofErr w:type="spellEnd"/>
            <w:r w:rsidRPr="007A6B6F">
              <w:t xml:space="preserve">, O. Snapshots of a solid-state transformation: coexistence of three phases trapped in one crystal. </w:t>
            </w:r>
            <w:r w:rsidRPr="007A6B6F">
              <w:rPr>
                <w:i/>
                <w:iCs/>
              </w:rPr>
              <w:t>Chemical Science</w:t>
            </w:r>
            <w:r w:rsidRPr="007A6B6F">
              <w:t xml:space="preserve"> </w:t>
            </w:r>
            <w:r w:rsidRPr="007A6B6F">
              <w:rPr>
                <w:b/>
                <w:bCs/>
              </w:rPr>
              <w:t>2016</w:t>
            </w:r>
            <w:r w:rsidRPr="007A6B6F">
              <w:t xml:space="preserve">, </w:t>
            </w:r>
            <w:r w:rsidRPr="007A6B6F">
              <w:rPr>
                <w:i/>
                <w:iCs/>
              </w:rPr>
              <w:t>7</w:t>
            </w:r>
            <w:r w:rsidRPr="007A6B6F">
              <w:t>, 2907.</w:t>
            </w:r>
          </w:p>
        </w:tc>
      </w:tr>
      <w:tr w:rsidR="00780CD5" w:rsidRPr="007A6B6F" w:rsidTr="00CD1A98">
        <w:trPr>
          <w:trHeight w:val="315"/>
        </w:trPr>
        <w:tc>
          <w:tcPr>
            <w:tcW w:w="468" w:type="dxa"/>
          </w:tcPr>
          <w:p w:rsidR="00780CD5" w:rsidRPr="007A6B6F" w:rsidRDefault="00780CD5" w:rsidP="00CD1A98">
            <w:r>
              <w:t>7</w:t>
            </w:r>
          </w:p>
        </w:tc>
        <w:tc>
          <w:tcPr>
            <w:tcW w:w="1354" w:type="dxa"/>
          </w:tcPr>
          <w:p w:rsidR="00780CD5" w:rsidRPr="007A6B6F" w:rsidRDefault="00780CD5" w:rsidP="00CD1A98"/>
        </w:tc>
        <w:tc>
          <w:tcPr>
            <w:tcW w:w="8082" w:type="dxa"/>
            <w:noWrap/>
          </w:tcPr>
          <w:p w:rsidR="00780CD5" w:rsidRPr="007A6B6F" w:rsidRDefault="00780CD5" w:rsidP="00CD1A98">
            <w:r w:rsidRPr="007A6B6F">
              <w:t xml:space="preserve">Su, N. C.; Sun, D. T.; Beavers, C. M.; Britt, D. K.; Queen, W. L.; Urban, J. J. Enhanced permeation arising from dual transport pathways in hybrid polymer-MOF membranes. </w:t>
            </w:r>
            <w:r w:rsidRPr="007A6B6F">
              <w:rPr>
                <w:i/>
                <w:iCs/>
              </w:rPr>
              <w:t>Energy &amp; Environmental Science</w:t>
            </w:r>
            <w:r w:rsidRPr="007A6B6F">
              <w:t xml:space="preserve"> </w:t>
            </w:r>
            <w:r w:rsidRPr="007A6B6F">
              <w:rPr>
                <w:b/>
                <w:bCs/>
              </w:rPr>
              <w:t>2016</w:t>
            </w:r>
            <w:r w:rsidRPr="007A6B6F">
              <w:t xml:space="preserve">, </w:t>
            </w:r>
            <w:r w:rsidRPr="007A6B6F">
              <w:rPr>
                <w:i/>
                <w:iCs/>
              </w:rPr>
              <w:t>9</w:t>
            </w:r>
            <w:r w:rsidRPr="007A6B6F">
              <w:t>, 922.</w:t>
            </w:r>
          </w:p>
        </w:tc>
      </w:tr>
      <w:tr w:rsidR="00780CD5" w:rsidRPr="007A6B6F" w:rsidTr="00CD1A98">
        <w:trPr>
          <w:trHeight w:val="315"/>
        </w:trPr>
        <w:tc>
          <w:tcPr>
            <w:tcW w:w="468" w:type="dxa"/>
          </w:tcPr>
          <w:p w:rsidR="00780CD5" w:rsidRPr="007A6B6F" w:rsidRDefault="00780CD5" w:rsidP="00CD1A98">
            <w:r>
              <w:t>8</w:t>
            </w:r>
          </w:p>
        </w:tc>
        <w:tc>
          <w:tcPr>
            <w:tcW w:w="1354" w:type="dxa"/>
          </w:tcPr>
          <w:p w:rsidR="00780CD5" w:rsidRPr="007A6B6F" w:rsidRDefault="00780CD5" w:rsidP="00CD1A98"/>
        </w:tc>
        <w:tc>
          <w:tcPr>
            <w:tcW w:w="8082" w:type="dxa"/>
            <w:noWrap/>
          </w:tcPr>
          <w:p w:rsidR="00780CD5" w:rsidRPr="007A6B6F" w:rsidRDefault="00780CD5" w:rsidP="00CD1A98">
            <w:r w:rsidRPr="007A6B6F">
              <w:t xml:space="preserve">Xian, L.; Tian, G.; Beavers, C. M.; Teat, S. J.; </w:t>
            </w:r>
            <w:proofErr w:type="spellStart"/>
            <w:r w:rsidRPr="007A6B6F">
              <w:t>Shuh</w:t>
            </w:r>
            <w:proofErr w:type="spellEnd"/>
            <w:r w:rsidRPr="007A6B6F">
              <w:t xml:space="preserve">, D. K. </w:t>
            </w:r>
            <w:proofErr w:type="spellStart"/>
            <w:r w:rsidRPr="007A6B6F">
              <w:t>Glutarimidedioxime</w:t>
            </w:r>
            <w:proofErr w:type="spellEnd"/>
            <w:r w:rsidRPr="007A6B6F">
              <w:t xml:space="preserve">: A Complexing and Reducing Reagent for Plutonium Recovery from Spent Nuclear Fuel Reprocessing. </w:t>
            </w:r>
            <w:proofErr w:type="spellStart"/>
            <w:r w:rsidRPr="007A6B6F">
              <w:rPr>
                <w:i/>
                <w:iCs/>
              </w:rPr>
              <w:t>Angewandte</w:t>
            </w:r>
            <w:proofErr w:type="spellEnd"/>
            <w:r w:rsidRPr="007A6B6F">
              <w:rPr>
                <w:i/>
                <w:iCs/>
              </w:rPr>
              <w:t xml:space="preserve"> </w:t>
            </w:r>
            <w:proofErr w:type="spellStart"/>
            <w:r w:rsidRPr="007A6B6F">
              <w:rPr>
                <w:i/>
                <w:iCs/>
              </w:rPr>
              <w:t>Chemie</w:t>
            </w:r>
            <w:proofErr w:type="spellEnd"/>
            <w:r w:rsidRPr="007A6B6F">
              <w:rPr>
                <w:i/>
                <w:iCs/>
              </w:rPr>
              <w:t>-International Edition</w:t>
            </w:r>
            <w:r w:rsidRPr="007A6B6F">
              <w:t xml:space="preserve"> </w:t>
            </w:r>
            <w:r w:rsidRPr="007A6B6F">
              <w:rPr>
                <w:b/>
                <w:bCs/>
              </w:rPr>
              <w:t>2016</w:t>
            </w:r>
            <w:r w:rsidRPr="007A6B6F">
              <w:t xml:space="preserve">, </w:t>
            </w:r>
            <w:r w:rsidRPr="007A6B6F">
              <w:rPr>
                <w:i/>
                <w:iCs/>
              </w:rPr>
              <w:t>55</w:t>
            </w:r>
            <w:r w:rsidRPr="007A6B6F">
              <w:t>, 4671.</w:t>
            </w:r>
          </w:p>
        </w:tc>
      </w:tr>
    </w:tbl>
    <w:p w:rsidR="00780CD5" w:rsidRDefault="00780CD5"/>
    <w:p w:rsidR="00780CD5" w:rsidRDefault="00780CD5">
      <w:r>
        <w:t>Submitted Publications:</w:t>
      </w:r>
    </w:p>
    <w:p w:rsidR="00780CD5" w:rsidRDefault="003E22D4">
      <w:r>
        <w:t>McCormick, L.J.; Giordano, N.; Teat, S.J.; Beavers, C.M.</w:t>
      </w:r>
      <w:r>
        <w:t>;</w:t>
      </w:r>
      <w:r>
        <w:t xml:space="preserve"> </w:t>
      </w:r>
      <w:r>
        <w:t>“</w:t>
      </w:r>
      <w:r w:rsidR="005C7BE4">
        <w:t>Chemical Crystallography at the Advanced Light Source,</w:t>
      </w:r>
      <w:r>
        <w:t>”</w:t>
      </w:r>
      <w:r w:rsidR="005C7BE4">
        <w:t xml:space="preserve"> </w:t>
      </w:r>
      <w:proofErr w:type="gramStart"/>
      <w:r w:rsidRPr="003E22D4">
        <w:rPr>
          <w:i/>
        </w:rPr>
        <w:t>Crystals</w:t>
      </w:r>
      <w:r>
        <w:t xml:space="preserve">  (</w:t>
      </w:r>
      <w:proofErr w:type="gramEnd"/>
      <w:r>
        <w:t>accepted after minor revisions)</w:t>
      </w:r>
    </w:p>
    <w:p w:rsidR="003E22D4" w:rsidRDefault="003E22D4"/>
    <w:p w:rsidR="003E22D4" w:rsidRDefault="003E22D4">
      <w:r w:rsidRPr="003E22D4">
        <w:t>Stan</w:t>
      </w:r>
      <w:r>
        <w:t xml:space="preserve">, </w:t>
      </w:r>
      <w:r w:rsidRPr="003E22D4">
        <w:t>C</w:t>
      </w:r>
      <w:r>
        <w:t>.</w:t>
      </w:r>
      <w:r w:rsidRPr="003E22D4">
        <w:t>V.</w:t>
      </w:r>
      <w:r>
        <w:t>;</w:t>
      </w:r>
      <w:r w:rsidRPr="003E22D4">
        <w:t xml:space="preserve"> Beavers </w:t>
      </w:r>
      <w:r w:rsidRPr="003E22D4">
        <w:t>C</w:t>
      </w:r>
      <w:r>
        <w:t>.</w:t>
      </w:r>
      <w:r w:rsidRPr="003E22D4">
        <w:t>M.</w:t>
      </w:r>
      <w:r>
        <w:t>;</w:t>
      </w:r>
      <w:r w:rsidRPr="003E22D4">
        <w:t xml:space="preserve"> Kunz, </w:t>
      </w:r>
      <w:r w:rsidRPr="003E22D4">
        <w:t>M</w:t>
      </w:r>
      <w:r>
        <w:t>.;</w:t>
      </w:r>
      <w:r w:rsidRPr="003E22D4">
        <w:t xml:space="preserve"> </w:t>
      </w:r>
      <w:proofErr w:type="spellStart"/>
      <w:proofErr w:type="gramStart"/>
      <w:r w:rsidRPr="003E22D4">
        <w:t>Tamura</w:t>
      </w:r>
      <w:r>
        <w:t>,N</w:t>
      </w:r>
      <w:proofErr w:type="spellEnd"/>
      <w:r>
        <w:t>.</w:t>
      </w:r>
      <w:proofErr w:type="gramEnd"/>
      <w:r w:rsidRPr="003E22D4">
        <w:t xml:space="preserve"> </w:t>
      </w:r>
      <w:r>
        <w:t>“</w:t>
      </w:r>
      <w:r w:rsidRPr="003E22D4">
        <w:t>X-ray diffraction under extreme conditions at the Advanced Light Source</w:t>
      </w:r>
      <w:r>
        <w:t xml:space="preserve">,”  </w:t>
      </w:r>
      <w:r w:rsidRPr="003E22D4">
        <w:rPr>
          <w:i/>
        </w:rPr>
        <w:t>Quantum Beam Science</w:t>
      </w:r>
    </w:p>
    <w:sectPr w:rsidR="003E22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Garamond Pro">
    <w:altName w:val="Garamond"/>
    <w:panose1 w:val="020205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EEA"/>
    <w:rsid w:val="00060795"/>
    <w:rsid w:val="00160722"/>
    <w:rsid w:val="003E22D4"/>
    <w:rsid w:val="005C7BE4"/>
    <w:rsid w:val="00780CD5"/>
    <w:rsid w:val="007C1EEA"/>
    <w:rsid w:val="00813D86"/>
    <w:rsid w:val="00960CD4"/>
    <w:rsid w:val="00987EB8"/>
    <w:rsid w:val="009A59BC"/>
    <w:rsid w:val="00A06DCB"/>
    <w:rsid w:val="00AA01CB"/>
    <w:rsid w:val="00B438CF"/>
    <w:rsid w:val="00BC1FD2"/>
    <w:rsid w:val="00D01BED"/>
    <w:rsid w:val="00DD4D28"/>
    <w:rsid w:val="00ED52C8"/>
    <w:rsid w:val="00F30829"/>
    <w:rsid w:val="00F87CED"/>
    <w:rsid w:val="00FC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E3CB9"/>
  <w15:chartTrackingRefBased/>
  <w15:docId w15:val="{FA8E0E6C-F38D-4C84-9B7E-4C2BD2CA5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1EEA"/>
    <w:pPr>
      <w:spacing w:after="200" w:line="276" w:lineRule="auto"/>
    </w:pPr>
    <w:rPr>
      <w:rFonts w:ascii="Adobe Garamond Pro" w:hAnsi="Adobe Garamond Pro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7EB8"/>
    <w:pPr>
      <w:keepNext/>
      <w:keepLines/>
      <w:spacing w:before="240" w:after="0" w:line="259" w:lineRule="auto"/>
      <w:outlineLvl w:val="0"/>
    </w:pPr>
    <w:rPr>
      <w:rFonts w:ascii="Adobe Garamond Pro Bold" w:eastAsiaTheme="majorEastAsia" w:hAnsi="Adobe Garamond Pro Bold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7EB8"/>
    <w:rPr>
      <w:rFonts w:ascii="Adobe Garamond Pro Bold" w:eastAsiaTheme="majorEastAsia" w:hAnsi="Adobe Garamond Pro Bold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7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8239</TotalTime>
  <Pages>3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Beavers</dc:creator>
  <cp:keywords/>
  <dc:description/>
  <cp:lastModifiedBy>Christine Beavers</cp:lastModifiedBy>
  <cp:revision>7</cp:revision>
  <dcterms:created xsi:type="dcterms:W3CDTF">2017-11-13T19:07:00Z</dcterms:created>
  <dcterms:modified xsi:type="dcterms:W3CDTF">2017-12-03T06:20:00Z</dcterms:modified>
</cp:coreProperties>
</file>